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highlight w:val="none"/>
          <w:shd w:val="clear" w:color="auto" w:fill="FFFFFF"/>
          <w:lang w:val="en-US" w:eastAsia="zh-CN" w:bidi="ar"/>
        </w:rPr>
        <w:t>王铺镇</w:t>
      </w: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按照《中华人民共和国政府信息公开条例》（以下简称《条例》）要求，现就王铺镇2021年政府信息公开工作报告如下。本报告包括总体情况，主动公开政府信息情况，收到和处理政府信息公开申请情况，政府信息公开行政复议、行政诉讼情况，存在的主要问题及改进情况，其他需要报告的事项共6部分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本年度报告中所列数据的统计期限自2021年1月1日起至2021年12月31日止。本报告通过秦安县人民政府门户网站“中国秦安”（</w:t>
      </w:r>
      <w:r>
        <w:rPr>
          <w:rFonts w:hint="eastAsia" w:ascii="仿宋" w:hAnsi="仿宋" w:eastAsia="仿宋" w:cs="仿宋"/>
          <w:b w:val="0"/>
          <w:i w:val="0"/>
          <w:caps w:val="0"/>
          <w:color w:val="000000"/>
          <w:spacing w:val="0"/>
          <w:kern w:val="0"/>
          <w:sz w:val="32"/>
          <w:szCs w:val="32"/>
          <w:shd w:val="clear" w:color="auto" w:fill="FFFFFF"/>
          <w:lang w:val="en-US" w:eastAsia="zh-CN" w:bidi="ar"/>
        </w:rPr>
        <w:fldChar w:fldCharType="begin"/>
      </w:r>
      <w:r>
        <w:rPr>
          <w:rFonts w:hint="eastAsia" w:ascii="仿宋" w:hAnsi="仿宋" w:eastAsia="仿宋" w:cs="仿宋"/>
          <w:b w:val="0"/>
          <w:i w:val="0"/>
          <w:caps w:val="0"/>
          <w:color w:val="000000"/>
          <w:spacing w:val="0"/>
          <w:kern w:val="0"/>
          <w:sz w:val="32"/>
          <w:szCs w:val="32"/>
          <w:shd w:val="clear" w:color="auto" w:fill="FFFFFF"/>
          <w:lang w:val="en-US" w:eastAsia="zh-CN" w:bidi="ar"/>
        </w:rPr>
        <w:instrText xml:space="preserve"> HYPERLINK "http://www.hsxzf.gov.cn/" </w:instrText>
      </w:r>
      <w:r>
        <w:rPr>
          <w:rFonts w:hint="eastAsia" w:ascii="仿宋" w:hAnsi="仿宋" w:eastAsia="仿宋" w:cs="仿宋"/>
          <w:b w:val="0"/>
          <w:i w:val="0"/>
          <w:caps w:val="0"/>
          <w:color w:val="000000"/>
          <w:spacing w:val="0"/>
          <w:kern w:val="0"/>
          <w:sz w:val="32"/>
          <w:szCs w:val="32"/>
          <w:shd w:val="clear" w:color="auto" w:fill="FFFFFF"/>
          <w:lang w:val="en-US" w:eastAsia="zh-CN" w:bidi="ar"/>
        </w:rPr>
        <w:fldChar w:fldCharType="separate"/>
      </w:r>
      <w:r>
        <w:rPr>
          <w:rFonts w:hint="eastAsia" w:ascii="仿宋" w:hAnsi="仿宋" w:eastAsia="仿宋" w:cs="仿宋"/>
          <w:b w:val="0"/>
          <w:i w:val="0"/>
          <w:caps w:val="0"/>
          <w:color w:val="000000"/>
          <w:spacing w:val="0"/>
          <w:kern w:val="0"/>
          <w:sz w:val="32"/>
          <w:szCs w:val="32"/>
          <w:shd w:val="clear" w:color="auto" w:fill="FFFFFF"/>
          <w:lang w:val="en-US" w:eastAsia="zh-CN" w:bidi="ar"/>
        </w:rPr>
        <w:t>http://www.qinan.gov.c</w:t>
      </w:r>
      <w:r>
        <w:rPr>
          <w:rFonts w:hint="eastAsia" w:ascii="仿宋" w:hAnsi="仿宋" w:eastAsia="仿宋" w:cs="仿宋"/>
          <w:b w:val="0"/>
          <w:i w:val="0"/>
          <w:caps w:val="0"/>
          <w:color w:val="000000"/>
          <w:spacing w:val="0"/>
          <w:kern w:val="0"/>
          <w:sz w:val="32"/>
          <w:szCs w:val="32"/>
          <w:shd w:val="clear" w:color="auto" w:fill="FFFFFF"/>
          <w:lang w:val="en-US" w:eastAsia="zh-CN" w:bidi="ar"/>
        </w:rPr>
        <w:fldChar w:fldCharType="end"/>
      </w:r>
      <w:r>
        <w:rPr>
          <w:rFonts w:hint="eastAsia" w:ascii="仿宋" w:hAnsi="仿宋" w:eastAsia="仿宋" w:cs="仿宋"/>
          <w:b w:val="0"/>
          <w:i w:val="0"/>
          <w:caps w:val="0"/>
          <w:color w:val="000000"/>
          <w:spacing w:val="0"/>
          <w:kern w:val="0"/>
          <w:sz w:val="32"/>
          <w:szCs w:val="32"/>
          <w:shd w:val="clear" w:color="auto" w:fill="FFFFFF"/>
          <w:lang w:val="en-US" w:eastAsia="zh-CN" w:bidi="ar"/>
        </w:rPr>
        <w:t>n）公布，若对报告有任何疑问，请联系秦安县政府办公室（电话：0938—6711104，传真：0938—4902002，电子邮箱：</w:t>
      </w:r>
      <w:r>
        <w:rPr>
          <w:rFonts w:hint="eastAsia" w:ascii="仿宋" w:hAnsi="仿宋" w:eastAsia="仿宋" w:cs="仿宋"/>
          <w:b w:val="0"/>
          <w:i w:val="0"/>
          <w:caps w:val="0"/>
          <w:color w:val="000000"/>
          <w:spacing w:val="0"/>
          <w:kern w:val="0"/>
          <w:sz w:val="32"/>
          <w:szCs w:val="32"/>
          <w:shd w:val="clear" w:color="auto" w:fill="FFFFFF"/>
          <w:lang w:val="en-US" w:eastAsia="zh-CN" w:bidi="ar"/>
        </w:rPr>
        <w:fldChar w:fldCharType="begin"/>
      </w:r>
      <w:r>
        <w:rPr>
          <w:rFonts w:hint="eastAsia" w:ascii="仿宋" w:hAnsi="仿宋" w:eastAsia="仿宋" w:cs="仿宋"/>
          <w:b w:val="0"/>
          <w:i w:val="0"/>
          <w:caps w:val="0"/>
          <w:color w:val="000000"/>
          <w:spacing w:val="0"/>
          <w:kern w:val="0"/>
          <w:sz w:val="32"/>
          <w:szCs w:val="32"/>
          <w:shd w:val="clear" w:color="auto" w:fill="FFFFFF"/>
          <w:lang w:val="en-US" w:eastAsia="zh-CN" w:bidi="ar"/>
        </w:rPr>
        <w:instrText xml:space="preserve"> HYPERLINK "mailto:qaxrmzf@163.com）。" </w:instrText>
      </w:r>
      <w:r>
        <w:rPr>
          <w:rFonts w:hint="eastAsia" w:ascii="仿宋" w:hAnsi="仿宋" w:eastAsia="仿宋" w:cs="仿宋"/>
          <w:b w:val="0"/>
          <w:i w:val="0"/>
          <w:caps w:val="0"/>
          <w:color w:val="000000"/>
          <w:spacing w:val="0"/>
          <w:kern w:val="0"/>
          <w:sz w:val="32"/>
          <w:szCs w:val="32"/>
          <w:shd w:val="clear" w:color="auto" w:fill="FFFFFF"/>
          <w:lang w:val="en-US" w:eastAsia="zh-CN" w:bidi="ar"/>
        </w:rPr>
        <w:fldChar w:fldCharType="separate"/>
      </w:r>
      <w:r>
        <w:rPr>
          <w:rFonts w:hint="eastAsia" w:ascii="仿宋" w:hAnsi="仿宋" w:eastAsia="仿宋" w:cs="仿宋"/>
          <w:b w:val="0"/>
          <w:i w:val="0"/>
          <w:caps w:val="0"/>
          <w:color w:val="000000"/>
          <w:spacing w:val="0"/>
          <w:kern w:val="0"/>
          <w:sz w:val="32"/>
          <w:szCs w:val="32"/>
          <w:shd w:val="clear" w:color="auto" w:fill="FFFFFF"/>
          <w:lang w:val="en-US" w:eastAsia="zh-CN" w:bidi="ar"/>
        </w:rPr>
        <w:t>qaxlczrmzf@163.com）。</w:t>
      </w:r>
      <w:r>
        <w:rPr>
          <w:rFonts w:hint="eastAsia" w:ascii="仿宋" w:hAnsi="仿宋" w:eastAsia="仿宋" w:cs="仿宋"/>
          <w:b w:val="0"/>
          <w:i w:val="0"/>
          <w:caps w:val="0"/>
          <w:color w:val="000000"/>
          <w:spacing w:val="0"/>
          <w:kern w:val="0"/>
          <w:sz w:val="32"/>
          <w:szCs w:val="32"/>
          <w:shd w:val="clear" w:color="auto" w:fill="FFFFFF"/>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t>一、总体情况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color w:val="000000" w:themeColor="text1"/>
          <w:sz w:val="32"/>
          <w:szCs w:val="32"/>
          <w:shd w:val="clear" w:color="auto" w:fill="FFFFFF"/>
          <w14:textFill>
            <w14:solidFill>
              <w14:schemeClr w14:val="tx1"/>
            </w14:solidFill>
          </w14:textFill>
        </w:rPr>
      </w:pPr>
      <w:r>
        <w:rPr>
          <w:rFonts w:hint="eastAsia" w:ascii="仿宋" w:hAnsi="仿宋" w:eastAsia="仿宋" w:cs="仿宋"/>
          <w:b w:val="0"/>
          <w:bCs/>
          <w:color w:val="000000" w:themeColor="text1"/>
          <w:sz w:val="32"/>
          <w:szCs w:val="32"/>
          <w:shd w:val="clear" w:color="auto" w:fill="FFFFFF"/>
          <w14:textFill>
            <w14:solidFill>
              <w14:schemeClr w14:val="tx1"/>
            </w14:solidFill>
          </w14:textFill>
        </w:rPr>
        <w:t>在县委、县政府的正确领导和上级部门的指导下，</w:t>
      </w:r>
      <w:r>
        <w:rPr>
          <w:rFonts w:hint="eastAsia" w:ascii="仿宋" w:hAnsi="仿宋" w:eastAsia="仿宋" w:cs="仿宋"/>
          <w:b w:val="0"/>
          <w:bCs/>
          <w:color w:val="000000" w:themeColor="text1"/>
          <w:sz w:val="32"/>
          <w:szCs w:val="32"/>
          <w:shd w:val="clear" w:color="auto" w:fill="FFFFFF"/>
          <w:lang w:eastAsia="zh-CN"/>
          <w14:textFill>
            <w14:solidFill>
              <w14:schemeClr w14:val="tx1"/>
            </w14:solidFill>
          </w14:textFill>
        </w:rPr>
        <w:t>王铺</w:t>
      </w:r>
      <w:r>
        <w:rPr>
          <w:rFonts w:hint="eastAsia" w:ascii="仿宋" w:hAnsi="仿宋" w:eastAsia="仿宋" w:cs="仿宋"/>
          <w:b w:val="0"/>
          <w:bCs/>
          <w:color w:val="000000" w:themeColor="text1"/>
          <w:sz w:val="32"/>
          <w:szCs w:val="32"/>
          <w:shd w:val="clear" w:color="auto" w:fill="FFFFFF"/>
          <w14:textFill>
            <w14:solidFill>
              <w14:schemeClr w14:val="tx1"/>
            </w14:solidFill>
          </w14:textFill>
        </w:rPr>
        <w:t>镇人民政府坚持以习近平新时代中国特色社会主义思想和党的十九大精神</w:t>
      </w:r>
      <w:r>
        <w:rPr>
          <w:rFonts w:hint="eastAsia" w:ascii="仿宋" w:hAnsi="仿宋" w:eastAsia="仿宋" w:cs="仿宋"/>
          <w:b w:val="0"/>
          <w:bCs/>
          <w:color w:val="000000" w:themeColor="text1"/>
          <w:sz w:val="32"/>
          <w:szCs w:val="32"/>
          <w:shd w:val="clear" w:color="auto" w:fill="FFFFFF"/>
          <w14:textFill>
            <w14:solidFill>
              <w14:schemeClr w14:val="tx1"/>
            </w14:solidFill>
          </w14:textFill>
        </w:rPr>
        <w:t>为指导，以建立责任型、法治型、阳光型政府为目标，认真贯彻落实市、县政府信息公开工作部署。结合本镇</w:t>
      </w:r>
      <w:bookmarkStart w:id="0" w:name="_GoBack"/>
      <w:bookmarkEnd w:id="0"/>
      <w:r>
        <w:rPr>
          <w:rFonts w:hint="eastAsia" w:ascii="仿宋" w:hAnsi="仿宋" w:eastAsia="仿宋" w:cs="仿宋"/>
          <w:b w:val="0"/>
          <w:bCs/>
          <w:color w:val="000000" w:themeColor="text1"/>
          <w:sz w:val="32"/>
          <w:szCs w:val="32"/>
          <w:shd w:val="clear" w:color="auto" w:fill="FFFFFF"/>
          <w14:textFill>
            <w14:solidFill>
              <w14:schemeClr w14:val="tx1"/>
            </w14:solidFill>
          </w14:textFill>
        </w:rPr>
        <w:t>实际，不断纵深发展，</w:t>
      </w:r>
      <w:r>
        <w:rPr>
          <w:rFonts w:hint="eastAsia" w:ascii="仿宋" w:hAnsi="仿宋" w:eastAsia="仿宋" w:cs="仿宋"/>
          <w:b w:val="0"/>
          <w:bCs/>
          <w:color w:val="000000" w:themeColor="text1"/>
          <w:sz w:val="32"/>
          <w:szCs w:val="32"/>
          <w:shd w:val="clear" w:color="auto" w:fill="FFFFFF"/>
          <w:lang w:eastAsia="zh-CN"/>
          <w14:textFill>
            <w14:solidFill>
              <w14:schemeClr w14:val="tx1"/>
            </w14:solidFill>
          </w14:textFill>
        </w:rPr>
        <w:t>2021</w:t>
      </w:r>
      <w:r>
        <w:rPr>
          <w:rFonts w:hint="eastAsia" w:ascii="仿宋" w:hAnsi="仿宋" w:eastAsia="仿宋" w:cs="仿宋"/>
          <w:b w:val="0"/>
          <w:bCs/>
          <w:color w:val="000000" w:themeColor="text1"/>
          <w:sz w:val="32"/>
          <w:szCs w:val="32"/>
          <w:shd w:val="clear" w:color="auto" w:fill="FFFFFF"/>
          <w14:textFill>
            <w14:solidFill>
              <w14:schemeClr w14:val="tx1"/>
            </w14:solidFill>
          </w14:textFill>
        </w:rPr>
        <w:t>年政府信息公开工作取得新进展。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color w:val="000000" w:themeColor="text1"/>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（一）把握重点，巩固成果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color w:val="000000" w:themeColor="text1"/>
          <w:sz w:val="32"/>
          <w:szCs w:val="32"/>
          <w:shd w:val="clear" w:color="auto" w:fill="FFFFFF"/>
          <w14:textFill>
            <w14:solidFill>
              <w14:schemeClr w14:val="tx1"/>
            </w14:solidFill>
          </w14:textFill>
        </w:rPr>
      </w:pPr>
      <w:r>
        <w:rPr>
          <w:rFonts w:hint="eastAsia" w:ascii="仿宋" w:hAnsi="仿宋" w:eastAsia="仿宋" w:cs="仿宋"/>
          <w:b w:val="0"/>
          <w:bCs/>
          <w:color w:val="000000" w:themeColor="text1"/>
          <w:sz w:val="32"/>
          <w:szCs w:val="32"/>
          <w:shd w:val="clear" w:color="auto" w:fill="FFFFFF"/>
          <w14:textFill>
            <w14:solidFill>
              <w14:schemeClr w14:val="tx1"/>
            </w14:solidFill>
          </w14:textFill>
        </w:rPr>
        <w:t>根据《条例》及政府信息公开有关文件要求，进一步明确政府信息公开工作指导思想及基本原则，全面梳理各类信息，规范化、系统化政府信息公开内容并及时公开公示。加强组织领导，加大投入力度，健全工作机制，深化电子政务建设,完善信息管理，突出政务公开重点，规范政务公开内容，提高政务公开水平，进一步巩固政府信息公开工作成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color w:val="000000" w:themeColor="text1"/>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（二）强化学习，提高认识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color w:val="000000" w:themeColor="text1"/>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 </w:t>
      </w:r>
      <w:r>
        <w:rPr>
          <w:rFonts w:hint="eastAsia" w:ascii="仿宋" w:hAnsi="仿宋" w:eastAsia="仿宋" w:cs="仿宋"/>
          <w:b w:val="0"/>
          <w:bCs/>
          <w:color w:val="000000" w:themeColor="text1"/>
          <w:sz w:val="32"/>
          <w:szCs w:val="32"/>
          <w:shd w:val="clear" w:color="auto" w:fill="FFFFFF"/>
          <w14:textFill>
            <w14:solidFill>
              <w14:schemeClr w14:val="tx1"/>
            </w14:solidFill>
          </w14:textFill>
        </w:rPr>
        <w:t>强化《条例》及政府信息公开工作相关文件学习，认真领会实质，严格把握要求，增强镇专职信息员及广大干部职工积极推进政务公开的历史使命感和政治责任感。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color w:val="000000" w:themeColor="text1"/>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（三）拓宽渠道，加强宣传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color w:val="000000" w:themeColor="text1"/>
          <w:sz w:val="32"/>
          <w:szCs w:val="32"/>
          <w:shd w:val="clear" w:color="auto" w:fill="FFFFFF"/>
          <w14:textFill>
            <w14:solidFill>
              <w14:schemeClr w14:val="tx1"/>
            </w14:solidFill>
          </w14:textFill>
        </w:rPr>
      </w:pPr>
      <w:r>
        <w:rPr>
          <w:rFonts w:hint="eastAsia" w:ascii="仿宋" w:hAnsi="仿宋" w:eastAsia="仿宋" w:cs="仿宋"/>
          <w:b w:val="0"/>
          <w:bCs/>
          <w:color w:val="000000" w:themeColor="text1"/>
          <w:sz w:val="32"/>
          <w:szCs w:val="32"/>
          <w:shd w:val="clear" w:color="auto" w:fill="FFFFFF"/>
          <w14:textFill>
            <w14:solidFill>
              <w14:schemeClr w14:val="tx1"/>
            </w14:solidFill>
          </w14:textFill>
        </w:rPr>
        <w:t>利用信息化手段丰富信息公开形式，拓宽信息公开渠道，以</w:t>
      </w:r>
      <w:r>
        <w:rPr>
          <w:rFonts w:hint="eastAsia" w:ascii="仿宋" w:hAnsi="仿宋" w:eastAsia="仿宋" w:cs="仿宋"/>
          <w:b w:val="0"/>
          <w:bCs/>
          <w:color w:val="000000" w:themeColor="text1"/>
          <w:sz w:val="32"/>
          <w:szCs w:val="32"/>
          <w:shd w:val="clear" w:color="auto" w:fill="FFFFFF"/>
          <w:lang w:eastAsia="zh-CN"/>
          <w14:textFill>
            <w14:solidFill>
              <w14:schemeClr w14:val="tx1"/>
            </w14:solidFill>
          </w14:textFill>
        </w:rPr>
        <w:t>王铺</w:t>
      </w:r>
      <w:r>
        <w:rPr>
          <w:rFonts w:hint="eastAsia" w:ascii="仿宋" w:hAnsi="仿宋" w:eastAsia="仿宋" w:cs="仿宋"/>
          <w:b w:val="0"/>
          <w:bCs/>
          <w:color w:val="000000" w:themeColor="text1"/>
          <w:sz w:val="32"/>
          <w:szCs w:val="32"/>
          <w:shd w:val="clear" w:color="auto" w:fill="FFFFFF"/>
          <w14:textFill>
            <w14:solidFill>
              <w14:schemeClr w14:val="tx1"/>
            </w14:solidFill>
          </w14:textFill>
        </w:rPr>
        <w:t>镇政府微信工作群、QQ群等平台和政府院内政务公开宣传栏为载体，现代方法与传统方法相结合，加大宣传力度，营造良好氛围，确保政府信息公开工作依法有序开展。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二、主动公开政府信息情况</w:t>
      </w:r>
    </w:p>
    <w:tbl>
      <w:tblPr>
        <w:tblStyle w:val="8"/>
        <w:tblW w:w="8933" w:type="dxa"/>
        <w:jc w:val="center"/>
        <w:shd w:val="clear" w:color="auto" w:fill="auto"/>
        <w:tblLayout w:type="fixed"/>
        <w:tblCellMar>
          <w:top w:w="0" w:type="dxa"/>
          <w:left w:w="0" w:type="dxa"/>
          <w:bottom w:w="0" w:type="dxa"/>
          <w:right w:w="0" w:type="dxa"/>
        </w:tblCellMar>
      </w:tblPr>
      <w:tblGrid>
        <w:gridCol w:w="3113"/>
        <w:gridCol w:w="2205"/>
        <w:gridCol w:w="1710"/>
        <w:gridCol w:w="1905"/>
      </w:tblGrid>
      <w:tr>
        <w:tblPrEx>
          <w:shd w:val="clear" w:color="auto" w:fill="auto"/>
          <w:tblCellMar>
            <w:top w:w="0" w:type="dxa"/>
            <w:left w:w="0" w:type="dxa"/>
            <w:bottom w:w="0" w:type="dxa"/>
            <w:right w:w="0" w:type="dxa"/>
          </w:tblCellMar>
        </w:tblPrEx>
        <w:trPr>
          <w:trHeight w:val="567" w:hRule="atLeast"/>
          <w:jc w:val="center"/>
        </w:trPr>
        <w:tc>
          <w:tcPr>
            <w:tcW w:w="8933"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第二十条第（一）项</w:t>
            </w:r>
          </w:p>
        </w:tc>
      </w:tr>
      <w:tr>
        <w:tblPrEx>
          <w:shd w:val="clear" w:color="auto" w:fill="auto"/>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信息内容</w:t>
            </w:r>
          </w:p>
        </w:tc>
        <w:tc>
          <w:tcPr>
            <w:tcW w:w="22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本年制发件数</w:t>
            </w:r>
          </w:p>
        </w:tc>
        <w:tc>
          <w:tcPr>
            <w:tcW w:w="17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本年废止件数</w:t>
            </w:r>
          </w:p>
        </w:tc>
        <w:tc>
          <w:tcPr>
            <w:tcW w:w="19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现行有效件数</w:t>
            </w:r>
          </w:p>
        </w:tc>
      </w:tr>
      <w:tr>
        <w:tblPrEx>
          <w:shd w:val="clear" w:color="auto" w:fill="auto"/>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规章</w:t>
            </w:r>
          </w:p>
        </w:tc>
        <w:tc>
          <w:tcPr>
            <w:tcW w:w="22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c>
          <w:tcPr>
            <w:tcW w:w="17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c>
          <w:tcPr>
            <w:tcW w:w="19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shd w:val="clear" w:color="auto" w:fill="auto"/>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tabs>
                <w:tab w:val="center" w:pos="1508"/>
                <w:tab w:val="right" w:pos="2897"/>
              </w:tabs>
              <w:kinsoku/>
              <w:wordWrap/>
              <w:overflowPunct/>
              <w:topLinePunct w:val="0"/>
              <w:autoSpaceDE/>
              <w:autoSpaceDN/>
              <w:bidi w:val="0"/>
              <w:adjustRightInd/>
              <w:snapToGrid/>
              <w:jc w:val="left"/>
              <w:textAlignment w:val="auto"/>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ab/>
            </w: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规范性文件</w:t>
            </w: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ab/>
            </w:r>
          </w:p>
        </w:tc>
        <w:tc>
          <w:tcPr>
            <w:tcW w:w="22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c>
          <w:tcPr>
            <w:tcW w:w="17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c>
          <w:tcPr>
            <w:tcW w:w="19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shd w:val="clear" w:color="auto" w:fill="auto"/>
          <w:tblCellMar>
            <w:top w:w="0" w:type="dxa"/>
            <w:left w:w="0" w:type="dxa"/>
            <w:bottom w:w="0" w:type="dxa"/>
            <w:right w:w="0" w:type="dxa"/>
          </w:tblCellMar>
        </w:tblPrEx>
        <w:trPr>
          <w:trHeight w:val="567" w:hRule="atLeast"/>
          <w:jc w:val="center"/>
        </w:trPr>
        <w:tc>
          <w:tcPr>
            <w:tcW w:w="8933"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第二十条第（五）项</w:t>
            </w:r>
          </w:p>
        </w:tc>
      </w:tr>
      <w:tr>
        <w:tblPrEx>
          <w:shd w:val="clear" w:color="auto" w:fill="auto"/>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信息内容</w:t>
            </w:r>
          </w:p>
        </w:tc>
        <w:tc>
          <w:tcPr>
            <w:tcW w:w="58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本年处理决定数量</w:t>
            </w:r>
          </w:p>
        </w:tc>
      </w:tr>
      <w:tr>
        <w:tblPrEx>
          <w:shd w:val="clear" w:color="auto" w:fill="auto"/>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行政许可</w:t>
            </w:r>
          </w:p>
        </w:tc>
        <w:tc>
          <w:tcPr>
            <w:tcW w:w="58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shd w:val="clear" w:color="auto" w:fill="auto"/>
          <w:tblCellMar>
            <w:top w:w="0" w:type="dxa"/>
            <w:left w:w="0" w:type="dxa"/>
            <w:bottom w:w="0" w:type="dxa"/>
            <w:right w:w="0" w:type="dxa"/>
          </w:tblCellMar>
        </w:tblPrEx>
        <w:trPr>
          <w:trHeight w:val="567" w:hRule="atLeast"/>
          <w:jc w:val="center"/>
        </w:trPr>
        <w:tc>
          <w:tcPr>
            <w:tcW w:w="8933"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第二十条第（六）项</w:t>
            </w:r>
          </w:p>
        </w:tc>
      </w:tr>
      <w:tr>
        <w:tblPrEx>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信息内容</w:t>
            </w:r>
          </w:p>
        </w:tc>
        <w:tc>
          <w:tcPr>
            <w:tcW w:w="58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color w:val="000000" w:themeColor="text1"/>
                <w:kern w:val="0"/>
                <w:sz w:val="24"/>
                <w:szCs w:val="24"/>
                <w:highlight w:val="none"/>
                <w:lang w:eastAsia="zh-CN"/>
                <w14:textFill>
                  <w14:solidFill>
                    <w14:schemeClr w14:val="tx1"/>
                  </w14:solidFill>
                </w14:textFill>
              </w:rPr>
              <w:t>本年</w:t>
            </w: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处理决定数量</w:t>
            </w:r>
          </w:p>
        </w:tc>
      </w:tr>
      <w:tr>
        <w:tblPrEx>
          <w:shd w:val="clear" w:color="auto" w:fill="auto"/>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行政处罚</w:t>
            </w:r>
          </w:p>
        </w:tc>
        <w:tc>
          <w:tcPr>
            <w:tcW w:w="58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shd w:val="clear" w:color="auto" w:fill="auto"/>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行政强制</w:t>
            </w:r>
          </w:p>
        </w:tc>
        <w:tc>
          <w:tcPr>
            <w:tcW w:w="58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8933"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第二十条第（八）项</w:t>
            </w:r>
          </w:p>
        </w:tc>
      </w:tr>
      <w:tr>
        <w:tblPrEx>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信息内容</w:t>
            </w:r>
          </w:p>
        </w:tc>
        <w:tc>
          <w:tcPr>
            <w:tcW w:w="5820"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本年度收费金额（单位：万元）</w:t>
            </w:r>
          </w:p>
        </w:tc>
      </w:tr>
      <w:tr>
        <w:tblPrEx>
          <w:tblCellMar>
            <w:top w:w="0" w:type="dxa"/>
            <w:left w:w="0" w:type="dxa"/>
            <w:bottom w:w="0" w:type="dxa"/>
            <w:right w:w="0" w:type="dxa"/>
          </w:tblCellMar>
        </w:tblPrEx>
        <w:trPr>
          <w:trHeight w:val="567"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行政事业性收费</w:t>
            </w:r>
          </w:p>
        </w:tc>
        <w:tc>
          <w:tcPr>
            <w:tcW w:w="5820"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157" w:afterLines="50" w:afterAutospacing="0" w:line="576" w:lineRule="exact"/>
        <w:jc w:val="center"/>
        <w:textAlignment w:val="auto"/>
        <w:rPr>
          <w:rFonts w:hint="eastAsia" w:ascii="黑体" w:hAnsi="黑体" w:eastAsia="黑体" w:cs="黑体"/>
          <w:b w:val="0"/>
          <w:bCs/>
          <w:color w:val="000000" w:themeColor="text1"/>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三、收到和处理政府信息公开申请情况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7"/>
        <w:gridCol w:w="894"/>
        <w:gridCol w:w="2948"/>
        <w:gridCol w:w="583"/>
        <w:gridCol w:w="704"/>
        <w:gridCol w:w="704"/>
        <w:gridCol w:w="704"/>
        <w:gridCol w:w="705"/>
        <w:gridCol w:w="570"/>
        <w:gridCol w:w="6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48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（本列数据的勾稽关系为：第一项加第二项之和，等于第三项加第四项之和）</w:t>
            </w:r>
          </w:p>
        </w:tc>
        <w:tc>
          <w:tcPr>
            <w:tcW w:w="458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48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5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自然人</w:t>
            </w:r>
          </w:p>
        </w:tc>
        <w:tc>
          <w:tcPr>
            <w:tcW w:w="338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法人或其他组织</w:t>
            </w:r>
          </w:p>
        </w:tc>
        <w:tc>
          <w:tcPr>
            <w:tcW w:w="61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8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5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商业企业</w:t>
            </w: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科研机构</w:t>
            </w:r>
          </w:p>
        </w:tc>
        <w:tc>
          <w:tcPr>
            <w:tcW w:w="7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社会公益组织</w:t>
            </w:r>
          </w:p>
        </w:tc>
        <w:tc>
          <w:tcPr>
            <w:tcW w:w="7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法律服务机构</w:t>
            </w:r>
          </w:p>
        </w:tc>
        <w:tc>
          <w:tcPr>
            <w:tcW w:w="5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其他</w:t>
            </w:r>
          </w:p>
        </w:tc>
        <w:tc>
          <w:tcPr>
            <w:tcW w:w="61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48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一、本年新收政府信息公开申请数量</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48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上年结转政府信息公开申请数量</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64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三、本年度办理结果</w:t>
            </w:r>
          </w:p>
        </w:tc>
        <w:tc>
          <w:tcPr>
            <w:tcW w:w="384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（一）予以公开</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384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（二）部分公开（区分处理的，只计这一情形，不计其他情形）</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（三）不予公开</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1.属于国家秘密</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2.其他法律行政法规禁止公开</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3.危及“三安全一稳定”</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4.保护第三方合法权益</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5.属于三类内部事务信息</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6.属于四类过程性信息</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7.属于行政执法案卷</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8.属于行政查询事项</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（四）无法提供</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1.本机关不掌握相关政府信息</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2.没有现成信息需要另行制作</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3.补正后申请内容仍不明确</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（五）不予处理</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1.信访举报投诉类申请</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2.重复申请</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3.要求提供公开出版物</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4.无正当理由大量反复申请</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5.要求行政机关确认或重新出具已获取信息</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jc w:val="left"/>
              <w:textAlignment w:val="auto"/>
              <w:rPr>
                <w:rFonts w:ascii="宋体"/>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（六）其他处理</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1.申请人无正当理由逾期不补证，行政机关不再处理其政府信息公开申请</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894"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szCs w:val="24"/>
                <w14:textFill>
                  <w14:solidFill>
                    <w14:schemeClr w14:val="tx1"/>
                  </w14:solidFill>
                </w14:textFill>
              </w:rPr>
            </w:pP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2.申请人逾期未按收费通知要求缴纳费用，行政机关不再处理其政府信息公开申请</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asciiTheme="minorEastAsia" w:hAnsiTheme="minorEastAsia" w:cstheme="minorEastAsia"/>
                <w:color w:val="000000" w:themeColor="text1"/>
                <w:kern w:val="2"/>
                <w:sz w:val="24"/>
                <w:szCs w:val="24"/>
                <w:lang w:val="en-US" w:eastAsia="zh-CN" w:bidi="ar-SA"/>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asciiTheme="minorEastAsia" w:hAnsiTheme="minorEastAsia" w:cstheme="minorEastAsia"/>
                <w:color w:val="000000" w:themeColor="text1"/>
                <w:kern w:val="2"/>
                <w:sz w:val="24"/>
                <w:szCs w:val="24"/>
                <w:lang w:val="en-US" w:eastAsia="zh-CN" w:bidi="ar-SA"/>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asciiTheme="minorEastAsia" w:hAnsiTheme="minorEastAsia" w:cstheme="minorEastAsia"/>
                <w:color w:val="000000" w:themeColor="text1"/>
                <w:kern w:val="2"/>
                <w:sz w:val="24"/>
                <w:szCs w:val="24"/>
                <w:lang w:val="en-US" w:eastAsia="zh-CN" w:bidi="ar-SA"/>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asciiTheme="minorEastAsia" w:hAnsiTheme="minorEastAsia" w:cstheme="minorEastAsia"/>
                <w:color w:val="000000" w:themeColor="text1"/>
                <w:kern w:val="2"/>
                <w:sz w:val="24"/>
                <w:szCs w:val="24"/>
                <w:lang w:val="en-US" w:eastAsia="zh-CN" w:bidi="ar-SA"/>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asciiTheme="minorEastAsia" w:hAnsiTheme="minorEastAsia" w:cstheme="minorEastAsia"/>
                <w:color w:val="000000" w:themeColor="text1"/>
                <w:kern w:val="2"/>
                <w:sz w:val="24"/>
                <w:szCs w:val="24"/>
                <w:lang w:val="en-US" w:eastAsia="zh-CN" w:bidi="ar-SA"/>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asciiTheme="minorEastAsia" w:hAnsiTheme="minorEastAsia" w:cstheme="minorEastAsia"/>
                <w:color w:val="000000" w:themeColor="text1"/>
                <w:kern w:val="2"/>
                <w:sz w:val="24"/>
                <w:szCs w:val="24"/>
                <w:lang w:val="en-US" w:eastAsia="zh-CN" w:bidi="ar-SA"/>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asciiTheme="minorEastAsia" w:hAnsiTheme="minorEastAsia" w:cstheme="minorEastAsia"/>
                <w:color w:val="000000" w:themeColor="text1"/>
                <w:kern w:val="2"/>
                <w:sz w:val="24"/>
                <w:szCs w:val="24"/>
                <w:lang w:val="en-US" w:eastAsia="zh-CN" w:bidi="ar-SA"/>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ascii="宋体"/>
                <w:color w:val="000000" w:themeColor="text1"/>
                <w:sz w:val="24"/>
                <w14:textFill>
                  <w14:solidFill>
                    <w14:schemeClr w14:val="tx1"/>
                  </w14:solidFill>
                </w14:textFill>
              </w:rPr>
            </w:pPr>
          </w:p>
        </w:tc>
        <w:tc>
          <w:tcPr>
            <w:tcW w:w="384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（七）总计</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48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四、结转下年度继续办理</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Theme="minorEastAsia"/>
                <w:color w:val="000000" w:themeColor="text1"/>
                <w:sz w:val="24"/>
                <w:szCs w:val="24"/>
                <w:lang w:val="en-US" w:eastAsia="zh-CN"/>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p>
        </w:tc>
        <w:tc>
          <w:tcPr>
            <w:tcW w:w="7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color w:val="000000" w:themeColor="text1"/>
                <w:sz w:val="24"/>
                <w:szCs w:val="24"/>
                <w14:textFill>
                  <w14:solidFill>
                    <w14:schemeClr w14:val="tx1"/>
                  </w14:solidFill>
                </w14:textFill>
              </w:rPr>
            </w:pPr>
          </w:p>
        </w:tc>
        <w:tc>
          <w:tcPr>
            <w:tcW w:w="6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color w:val="000000" w:themeColor="text1"/>
                <w:sz w:val="24"/>
                <w:szCs w:val="24"/>
                <w14:textFill>
                  <w14:solidFill>
                    <w14:schemeClr w14:val="tx1"/>
                  </w14:solidFill>
                </w14:textFill>
              </w:rPr>
            </w:pP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157" w:afterLines="50" w:afterAutospacing="0" w:line="576" w:lineRule="exact"/>
        <w:jc w:val="center"/>
        <w:textAlignment w:val="auto"/>
        <w:rPr>
          <w:rFonts w:hint="eastAsia" w:ascii="黑体" w:hAnsi="黑体" w:eastAsia="黑体" w:cs="黑体"/>
          <w:b w:val="0"/>
          <w:bCs/>
          <w:color w:val="000000" w:themeColor="text1"/>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四、</w:t>
      </w:r>
      <w:r>
        <w:rPr>
          <w:rFonts w:hint="eastAsia" w:ascii="黑体" w:hAnsi="黑体" w:eastAsia="黑体" w:cs="黑体"/>
          <w:b w:val="0"/>
          <w:bCs/>
          <w:color w:val="000000" w:themeColor="text1"/>
          <w:spacing w:val="-6"/>
          <w:sz w:val="32"/>
          <w:szCs w:val="32"/>
          <w:shd w:val="clear" w:color="auto" w:fill="FFFFFF"/>
          <w14:textFill>
            <w14:solidFill>
              <w14:schemeClr w14:val="tx1"/>
            </w14:solidFill>
          </w14:textFill>
        </w:rPr>
        <w:t>政府信息公开行政复议</w:t>
      </w:r>
      <w:r>
        <w:rPr>
          <w:rFonts w:hint="eastAsia" w:ascii="黑体" w:hAnsi="黑体" w:eastAsia="黑体" w:cs="黑体"/>
          <w:b w:val="0"/>
          <w:bCs/>
          <w:color w:val="000000" w:themeColor="text1"/>
          <w:spacing w:val="-6"/>
          <w:sz w:val="32"/>
          <w:szCs w:val="32"/>
          <w:shd w:val="clear" w:color="auto" w:fill="FFFFFF"/>
          <w:lang w:eastAsia="zh-CN"/>
          <w14:textFill>
            <w14:solidFill>
              <w14:schemeClr w14:val="tx1"/>
            </w14:solidFill>
          </w14:textFill>
        </w:rPr>
        <w:t>、</w:t>
      </w:r>
      <w:r>
        <w:rPr>
          <w:rFonts w:hint="eastAsia" w:ascii="黑体" w:hAnsi="黑体" w:eastAsia="黑体" w:cs="黑体"/>
          <w:b w:val="0"/>
          <w:bCs/>
          <w:color w:val="000000" w:themeColor="text1"/>
          <w:spacing w:val="-6"/>
          <w:sz w:val="32"/>
          <w:szCs w:val="32"/>
          <w:shd w:val="clear" w:color="auto" w:fill="FFFFFF"/>
          <w14:textFill>
            <w14:solidFill>
              <w14:schemeClr w14:val="tx1"/>
            </w14:solidFill>
          </w14:textFill>
        </w:rPr>
        <w:t>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4"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t>五、</w:t>
      </w:r>
      <w:r>
        <w:rPr>
          <w:rFonts w:hint="eastAsia" w:ascii="Times New Roman" w:hAnsi="Times New Roman" w:eastAsia="黑体" w:cs="Times New Roman"/>
          <w:b w:val="0"/>
          <w:i w:val="0"/>
          <w:caps w:val="0"/>
          <w:color w:val="000000"/>
          <w:spacing w:val="0"/>
          <w:kern w:val="0"/>
          <w:sz w:val="32"/>
          <w:szCs w:val="32"/>
          <w:shd w:val="clear" w:color="auto" w:fill="FFFFFF"/>
          <w:lang w:val="en-US" w:eastAsia="zh-CN" w:bidi="ar"/>
        </w:rPr>
        <w:t>政府信息公开工作</w:t>
      </w:r>
      <w:r>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t>存在的主要问题及改进情况</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（一）主要问题</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1、镇政府日常事务繁杂，人员紧缺，工作人员身兼多职，工作中难免分身乏术、顾此失彼。</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2、政府信息公开是一项全新工作，工作人员和社会公众对此认知尚浅。</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3、镇域内基础设施建设较落后，农村群众缺乏网络知识等客观因素致使镇政府政务信息知晓率还不高。</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4、政务公开宣传范围局限，收效甚浅。适合村、组农村群众查阅政府信息的形式较少。</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5、部分信息公布不够及时、更新较慢。信息数量、质量亟待提升。</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（二）整改措施</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针对政府信息公开工作中存在问题，王铺镇人民政府将根据县政府的统一安排部署，认真查找并纠正问题，努力克服和解决困难，有序有效推进政府信息公开工作开展。</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1、加强政府信息公开信息员队伍建设，提升信息员综合素质，提高工作效率。</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2、广泛宣传，营造氛围。扩展宣传范围，深化政府信息；加强政府信息公开典型经验、先进做法宣传，引导群众主动关心政府信息公开，依法有序参与政府信息公开。</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3、加大学习培训力度，确保政府信息公开工作顺利推进。抓好领导干部学习培训，提高领导干部驾驭政府信息公开工作的能力；广泛开展公务员政府信息公开基本规范培训，全面提高相关工作人员信息公开工作水平；充分调动干部职工参与政府信息公开工作的主动性和积极性。</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４、加大政府信息采集和发布力度，提高信息质量，丰富公开内容。广泛听取群众的意见和建议，重点公开人民群众普遍关心的热点、焦点问题。</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５、创新工作方式，拓宽公开渠道。努力探索信息公开的新路子，因地制宜选取形式多样的信息公开方式，畅通公开渠道，方便群众获取政府信息。</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b w:val="0"/>
          <w:i w:val="0"/>
          <w:caps w:val="0"/>
          <w:color w:val="000000"/>
          <w:spacing w:val="0"/>
          <w:kern w:val="0"/>
          <w:sz w:val="32"/>
          <w:szCs w:val="32"/>
          <w:shd w:val="clear" w:color="auto" w:fill="FFFFFF"/>
          <w:lang w:val="en-US" w:eastAsia="zh-CN" w:bidi="ar"/>
        </w:rPr>
        <w:t>   ６、强化信息公开领导小组办公室职能，加强信息公开工作督促检查，保证及时更新、全面、准确、优质的政府信息。</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t>六、其他需要报告的事项</w:t>
      </w:r>
    </w:p>
    <w:p>
      <w:pPr>
        <w:keepNext w:val="0"/>
        <w:keepLines w:val="0"/>
        <w:pageBreakBefore w:val="0"/>
        <w:kinsoku/>
        <w:wordWrap/>
        <w:overflowPunct/>
        <w:topLinePunct w:val="0"/>
        <w:autoSpaceDE/>
        <w:autoSpaceDN/>
        <w:bidi w:val="0"/>
        <w:adjustRightInd/>
        <w:snapToGrid/>
        <w:spacing w:line="576" w:lineRule="exact"/>
        <w:ind w:left="0" w:leftChars="0" w:firstLine="420" w:firstLineChars="200"/>
        <w:textAlignment w:val="auto"/>
        <w:rPr>
          <w:rFonts w:hint="eastAsia" w:ascii="Times New Roman" w:hAnsi="Times New Roman" w:eastAsia="仿宋_GB2312" w:cs="Times New Roman"/>
          <w:b w:val="0"/>
          <w:i w:val="0"/>
          <w:caps w:val="0"/>
          <w:color w:val="000000"/>
          <w:spacing w:val="0"/>
          <w:kern w:val="0"/>
          <w:sz w:val="32"/>
          <w:szCs w:val="32"/>
          <w:shd w:val="clear" w:color="auto" w:fill="FFFFFF"/>
          <w:lang w:val="en-US" w:eastAsia="zh-CN" w:bidi="ar"/>
        </w:rPr>
      </w:pPr>
      <w:r>
        <w:rPr>
          <w:rFonts w:hint="eastAsia" w:ascii="Times New Roman" w:hAnsi="Times New Roman" w:cs="Times New Roman"/>
          <w:lang w:val="en-US" w:eastAsia="zh-CN"/>
        </w:rPr>
        <w:t xml:space="preserve">   </w:t>
      </w:r>
      <w:r>
        <w:rPr>
          <w:rFonts w:hint="eastAsia" w:ascii="Times New Roman" w:hAnsi="Times New Roman" w:eastAsia="仿宋_GB2312" w:cs="Times New Roman"/>
          <w:b w:val="0"/>
          <w:i w:val="0"/>
          <w:caps w:val="0"/>
          <w:color w:val="000000"/>
          <w:spacing w:val="0"/>
          <w:kern w:val="0"/>
          <w:sz w:val="32"/>
          <w:szCs w:val="32"/>
          <w:shd w:val="clear" w:color="auto" w:fill="FFFFFF"/>
          <w:lang w:val="en-US" w:eastAsia="zh-CN" w:bidi="ar"/>
        </w:rPr>
        <w:t>无</w:t>
      </w:r>
    </w:p>
    <w:p>
      <w:pPr>
        <w:pStyle w:val="4"/>
        <w:keepNext w:val="0"/>
        <w:keepLines w:val="0"/>
        <w:pageBreakBefore w:val="0"/>
        <w:kinsoku/>
        <w:wordWrap/>
        <w:overflowPunct/>
        <w:topLinePunct w:val="0"/>
        <w:autoSpaceDE/>
        <w:autoSpaceDN/>
        <w:bidi w:val="0"/>
        <w:adjustRightInd/>
        <w:snapToGrid/>
        <w:spacing w:after="0" w:line="576" w:lineRule="exact"/>
        <w:ind w:left="0" w:leftChars="0"/>
        <w:textAlignment w:val="auto"/>
        <w:rPr>
          <w:rFonts w:hint="default" w:ascii="Times New Roman" w:hAnsi="Times New Roman" w:cs="Times New Roman"/>
        </w:rPr>
      </w:pPr>
    </w:p>
    <w:sectPr>
      <w:footerReference r:id="rId3" w:type="default"/>
      <w:pgSz w:w="11906" w:h="16838"/>
      <w:pgMar w:top="2098" w:right="1531" w:bottom="1984" w:left="1531" w:header="851" w:footer="1531" w:gutter="0"/>
      <w:pgBorders>
        <w:top w:val="none" w:sz="0" w:space="0"/>
        <w:left w:val="none" w:sz="0" w:space="0"/>
        <w:bottom w:val="none" w:sz="0" w:space="0"/>
        <w:right w:val="none" w:sz="0" w:space="0"/>
      </w:pgBorders>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315" w:rightChars="150"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315" w:rightChars="150"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92400"/>
    <w:multiLevelType w:val="singleLevel"/>
    <w:tmpl w:val="9D9924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NDljZTBkOWRlMzA2MjJjYTRiYTE4MWQ2ZjJjOGYifQ=="/>
  </w:docVars>
  <w:rsids>
    <w:rsidRoot w:val="17245FCF"/>
    <w:rsid w:val="01A52705"/>
    <w:rsid w:val="02223D56"/>
    <w:rsid w:val="050E3CE6"/>
    <w:rsid w:val="052D53DB"/>
    <w:rsid w:val="05575AC4"/>
    <w:rsid w:val="05A05D2B"/>
    <w:rsid w:val="05B225BA"/>
    <w:rsid w:val="06725B16"/>
    <w:rsid w:val="09CA108C"/>
    <w:rsid w:val="0B4E594E"/>
    <w:rsid w:val="0C3E3787"/>
    <w:rsid w:val="0DCF414B"/>
    <w:rsid w:val="0DFB19DF"/>
    <w:rsid w:val="0E214EC1"/>
    <w:rsid w:val="101C3B92"/>
    <w:rsid w:val="102B4703"/>
    <w:rsid w:val="103722B9"/>
    <w:rsid w:val="11046BBF"/>
    <w:rsid w:val="12286807"/>
    <w:rsid w:val="12971BF6"/>
    <w:rsid w:val="13174AE5"/>
    <w:rsid w:val="14A63058"/>
    <w:rsid w:val="15DA3732"/>
    <w:rsid w:val="1610471E"/>
    <w:rsid w:val="17245FCF"/>
    <w:rsid w:val="17EF4AE1"/>
    <w:rsid w:val="186662F2"/>
    <w:rsid w:val="18D74CBF"/>
    <w:rsid w:val="19C21C4E"/>
    <w:rsid w:val="1B2B55D1"/>
    <w:rsid w:val="1B3C523E"/>
    <w:rsid w:val="1B950C9D"/>
    <w:rsid w:val="1D392227"/>
    <w:rsid w:val="1D6D5414"/>
    <w:rsid w:val="1D7C6A64"/>
    <w:rsid w:val="1EA96F36"/>
    <w:rsid w:val="200563F1"/>
    <w:rsid w:val="20F66E85"/>
    <w:rsid w:val="213827F6"/>
    <w:rsid w:val="220B1CB9"/>
    <w:rsid w:val="23843AD1"/>
    <w:rsid w:val="242A0225"/>
    <w:rsid w:val="24577437"/>
    <w:rsid w:val="27E254E0"/>
    <w:rsid w:val="2A963BAE"/>
    <w:rsid w:val="2BC06835"/>
    <w:rsid w:val="2BD0497A"/>
    <w:rsid w:val="2C536973"/>
    <w:rsid w:val="2CA25109"/>
    <w:rsid w:val="2CD22CA0"/>
    <w:rsid w:val="2D1B4F75"/>
    <w:rsid w:val="2D622CBD"/>
    <w:rsid w:val="2D7D16EA"/>
    <w:rsid w:val="2F912499"/>
    <w:rsid w:val="2FBC2096"/>
    <w:rsid w:val="31480788"/>
    <w:rsid w:val="31EE79D1"/>
    <w:rsid w:val="320F4EAD"/>
    <w:rsid w:val="325B6344"/>
    <w:rsid w:val="336C7EE0"/>
    <w:rsid w:val="336E59D3"/>
    <w:rsid w:val="33B51A84"/>
    <w:rsid w:val="33E660E2"/>
    <w:rsid w:val="36703254"/>
    <w:rsid w:val="37122A94"/>
    <w:rsid w:val="371E3A29"/>
    <w:rsid w:val="37270EEB"/>
    <w:rsid w:val="396A50BF"/>
    <w:rsid w:val="3A0558D8"/>
    <w:rsid w:val="3CF42B4E"/>
    <w:rsid w:val="3E467EA9"/>
    <w:rsid w:val="3F6C184D"/>
    <w:rsid w:val="3FCC0881"/>
    <w:rsid w:val="3FD923DE"/>
    <w:rsid w:val="40647138"/>
    <w:rsid w:val="408E03B9"/>
    <w:rsid w:val="41923405"/>
    <w:rsid w:val="43192786"/>
    <w:rsid w:val="43A3690E"/>
    <w:rsid w:val="43F108B7"/>
    <w:rsid w:val="45877B54"/>
    <w:rsid w:val="4597723C"/>
    <w:rsid w:val="459A3794"/>
    <w:rsid w:val="46D06EA9"/>
    <w:rsid w:val="47372A84"/>
    <w:rsid w:val="4799373F"/>
    <w:rsid w:val="480F69B2"/>
    <w:rsid w:val="48192719"/>
    <w:rsid w:val="490F1CC7"/>
    <w:rsid w:val="4B50075C"/>
    <w:rsid w:val="4B904E59"/>
    <w:rsid w:val="4CE60BA9"/>
    <w:rsid w:val="4D474990"/>
    <w:rsid w:val="4DAF7FC0"/>
    <w:rsid w:val="4EA07BA7"/>
    <w:rsid w:val="4F2558B8"/>
    <w:rsid w:val="533C44E4"/>
    <w:rsid w:val="541760EC"/>
    <w:rsid w:val="54846054"/>
    <w:rsid w:val="54AA7348"/>
    <w:rsid w:val="54C26763"/>
    <w:rsid w:val="563F6C9E"/>
    <w:rsid w:val="564B2ED6"/>
    <w:rsid w:val="56B9499A"/>
    <w:rsid w:val="572267FD"/>
    <w:rsid w:val="57316492"/>
    <w:rsid w:val="573570A0"/>
    <w:rsid w:val="583C0653"/>
    <w:rsid w:val="5A366BCB"/>
    <w:rsid w:val="5A8B59CB"/>
    <w:rsid w:val="5C5333C6"/>
    <w:rsid w:val="5E450BB3"/>
    <w:rsid w:val="5E8B689C"/>
    <w:rsid w:val="5EB50A07"/>
    <w:rsid w:val="60F11A9E"/>
    <w:rsid w:val="61741A9B"/>
    <w:rsid w:val="61847DD1"/>
    <w:rsid w:val="622F713D"/>
    <w:rsid w:val="63621CED"/>
    <w:rsid w:val="637B4800"/>
    <w:rsid w:val="651923C6"/>
    <w:rsid w:val="65343354"/>
    <w:rsid w:val="66F01730"/>
    <w:rsid w:val="670C13E0"/>
    <w:rsid w:val="676D0B82"/>
    <w:rsid w:val="68984CB4"/>
    <w:rsid w:val="6AE53679"/>
    <w:rsid w:val="6B285A46"/>
    <w:rsid w:val="6BEC7A32"/>
    <w:rsid w:val="6D7101EF"/>
    <w:rsid w:val="6F0D72E1"/>
    <w:rsid w:val="6F11264B"/>
    <w:rsid w:val="6F3516F0"/>
    <w:rsid w:val="70041B6B"/>
    <w:rsid w:val="70F31F92"/>
    <w:rsid w:val="710B00FA"/>
    <w:rsid w:val="72230B17"/>
    <w:rsid w:val="74E7523A"/>
    <w:rsid w:val="75FF45E7"/>
    <w:rsid w:val="78BC02B4"/>
    <w:rsid w:val="79472C05"/>
    <w:rsid w:val="79AF7ABE"/>
    <w:rsid w:val="79B71378"/>
    <w:rsid w:val="7A992B33"/>
    <w:rsid w:val="7AF91823"/>
    <w:rsid w:val="7B354F51"/>
    <w:rsid w:val="7B386B45"/>
    <w:rsid w:val="7BA520C3"/>
    <w:rsid w:val="7C3074C7"/>
    <w:rsid w:val="7C3F0DB7"/>
    <w:rsid w:val="7E396B79"/>
    <w:rsid w:val="7EEB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Body Text Indent 2"/>
    <w:basedOn w:val="1"/>
    <w:next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character" w:customStyle="1" w:styleId="12">
    <w:name w:val="Body text (2) + SimSun"/>
    <w:basedOn w:val="13"/>
    <w:qFormat/>
    <w:uiPriority w:val="0"/>
    <w:rPr>
      <w:rFonts w:ascii="宋体" w:hAnsi="宋体" w:eastAsia="宋体" w:cs="宋体"/>
      <w:color w:val="000000"/>
      <w:spacing w:val="0"/>
      <w:w w:val="100"/>
      <w:position w:val="0"/>
      <w:sz w:val="20"/>
      <w:szCs w:val="20"/>
      <w:lang w:val="zh-CN" w:eastAsia="zh-CN" w:bidi="zh-CN"/>
    </w:rPr>
  </w:style>
  <w:style w:type="character" w:customStyle="1" w:styleId="13">
    <w:name w:val="Body text (2)_"/>
    <w:basedOn w:val="9"/>
    <w:link w:val="14"/>
    <w:qFormat/>
    <w:uiPriority w:val="0"/>
    <w:rPr>
      <w:sz w:val="20"/>
      <w:szCs w:val="20"/>
      <w:u w:val="none"/>
    </w:rPr>
  </w:style>
  <w:style w:type="paragraph" w:customStyle="1" w:styleId="14">
    <w:name w:val="Body text (2)"/>
    <w:basedOn w:val="1"/>
    <w:link w:val="13"/>
    <w:qFormat/>
    <w:uiPriority w:val="0"/>
    <w:pPr>
      <w:widowControl w:val="0"/>
      <w:shd w:val="clear" w:color="auto" w:fill="FFFFFF"/>
    </w:pPr>
    <w:rPr>
      <w:sz w:val="20"/>
      <w:szCs w:val="20"/>
      <w:u w:val="none"/>
    </w:rPr>
  </w:style>
  <w:style w:type="paragraph" w:customStyle="1" w:styleId="15">
    <w:name w:val="BodyTextIndent2"/>
    <w:basedOn w:val="1"/>
    <w:qFormat/>
    <w:uiPriority w:val="0"/>
    <w:pPr>
      <w:spacing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3290</Words>
  <Characters>3449</Characters>
  <Lines>0</Lines>
  <Paragraphs>0</Paragraphs>
  <TotalTime>143</TotalTime>
  <ScaleCrop>false</ScaleCrop>
  <LinksUpToDate>false</LinksUpToDate>
  <CharactersWithSpaces>3457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2020-02-05T02:34:00Z</dcterms:created>
  <dc:creator>茬渁①汸</dc:creator>
  <cp:lastModifiedBy>๛    橙熟</cp:lastModifiedBy>
  <dcterms:modified xsi:type="dcterms:W3CDTF">2023-07-11T09:47:01Z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FC7830945F2A462AB19604F165C3732A</vt:lpwstr>
  </property>
</Properties>
</file>