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both"/>
        <w:ind w:left="0"/>
        <w:ind w:right="0"/>
        <w:ind w:firstLine="0"/>
        <w:pageBreakBefore w:val="0"/>
        <w:spacing w:line="576" w:lineRule="exact"/>
        <w:rPr>
          <w:rFonts w:ascii="黑体" w:hAnsi="黑体"/>
          <w:sz w:val="32"/>
          <w:szCs w:val="32"/>
        </w:rPr>
      </w:pPr>
      <w:r>
        <w:rPr>
          <w:rFonts w:ascii="黑体" w:hAnsi="黑体"/>
          <w:sz w:val="32"/>
          <w:szCs w:val="32"/>
        </w:rPr>
        <w:t>附件</w:t>
      </w:r>
      <w:r>
        <w:rPr>
          <w:rFonts w:ascii="黑体" w:hAnsi="黑体"/>
          <w:sz w:val="32"/>
          <w:szCs w:val="32"/>
        </w:rPr>
        <w:t>2</w:t>
      </w:r>
    </w:p>
    <w:p>
      <w:pPr>
        <w:pStyle w:val=""/>
        <w:jc w:val="center"/>
        <w:pageBreakBefore w:val="0"/>
        <w:spacing w:line="576" w:lineRule="exact"/>
        <w:rPr>
          <w:sz w:val="44"/>
          <w:szCs w:val="44"/>
        </w:rPr>
      </w:pPr>
      <w:r>
        <w:rPr>
          <w:sz w:val="44"/>
          <w:szCs w:val="44"/>
        </w:rPr>
        <w:t>县</w:t>
      </w:r>
      <w:r>
        <w:rPr>
          <w:sz w:val="44"/>
          <w:szCs w:val="44"/>
        </w:rPr>
        <w:t>政府部门</w:t>
      </w:r>
      <w:r>
        <w:rPr>
          <w:sz w:val="44"/>
          <w:szCs w:val="44"/>
        </w:rPr>
        <w:t>第十八批</w:t>
      </w:r>
      <w:r>
        <w:rPr>
          <w:sz w:val="44"/>
          <w:szCs w:val="44"/>
        </w:rPr>
        <w:t>取消</w:t>
      </w:r>
      <w:r>
        <w:rPr>
          <w:sz w:val="44"/>
          <w:szCs w:val="44"/>
        </w:rPr>
        <w:t>其他事项</w:t>
      </w:r>
      <w:r>
        <w:rPr>
          <w:sz w:val="44"/>
          <w:szCs w:val="44"/>
        </w:rPr>
        <w:t>目录</w:t>
      </w:r>
    </w:p>
    <w:p>
      <w:pPr>
        <w:pStyle w:val=""/>
        <w:jc w:val="center"/>
        <w:pageBreakBefore w:val="0"/>
        <w:spacing w:line="576" w:lineRule="exact"/>
        <w:rPr>
          <w:sz w:val="44"/>
          <w:szCs w:val="44"/>
        </w:rPr>
      </w:pPr>
      <w:r>
        <w:rPr>
          <w:sz w:val="44"/>
          <w:szCs w:val="44"/>
        </w:rPr>
        <w:t>（</w:t>
      </w:r>
      <w:r>
        <w:rPr>
          <w:rFonts w:ascii="Times New Roman" w:hAnsi="Times New Roman"/>
          <w:sz w:val="44"/>
          <w:szCs w:val="44"/>
        </w:rPr>
        <w:t>1</w:t>
      </w:r>
      <w:r>
        <w:rPr>
          <w:sz w:val="44"/>
          <w:szCs w:val="44"/>
        </w:rPr>
        <w:t>项）</w:t>
      </w:r>
    </w:p>
    <w:p>
      <w:pPr>
        <w:pStyle w:val=""/>
        <w:pageBreakBefore w:val="0"/>
        <w:spacing w:line="576" w:lineRule="exact"/>
        <w:rPr>
          <w:rFonts w:hAnsi="黑体"/>
          <w:sz w:val="32"/>
          <w:szCs w:val="32"/>
        </w:rPr>
      </w:pPr>
    </w:p>
    <w:p>
      <w:pPr>
        <w:pStyle w:val=""/>
        <w:jc w:val="center"/>
        <w:pageBreakBefore w:val="0"/>
        <w:spacing w:line="576" w:lineRule="exact"/>
        <w:rPr>
          <w:rFonts w:ascii="黑体" w:hAnsi="黑体"/>
          <w:sz w:val="32"/>
          <w:szCs w:val="32"/>
        </w:rPr>
      </w:pPr>
      <w:r>
        <w:rPr>
          <w:rFonts w:hAnsi="黑体"/>
          <w:sz w:val="32"/>
          <w:szCs w:val="32"/>
        </w:rPr>
        <w:t>（一）</w:t>
      </w:r>
      <w:r>
        <w:rPr>
          <w:rFonts w:ascii="黑体" w:hAnsi="黑体"/>
          <w:sz w:val="32"/>
          <w:szCs w:val="32"/>
        </w:rPr>
        <w:t>取消其他行政权力事项目录（1项）</w:t>
      </w:r>
    </w:p>
    <w:p>
      <w:pPr>
        <w:pStyle w:val=""/>
        <w:jc w:val="center"/>
        <w:pageBreakBefore w:val="0"/>
        <w:spacing w:line="576" w:lineRule="exact"/>
        <w:rPr>
          <w:rFonts w:ascii="黑体" w:hAnsi="黑体"/>
          <w:sz w:val="32"/>
          <w:szCs w:val="32"/>
        </w:rPr>
      </w:pP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网格型"/>
        <w:tblLook w:val="1E0"/>
        <w:tblW w:w="0" w:type="auto"/>
      </w:tblPr>
      <w:tblGrid>
        <w:gridCol w:w="652"/>
        <w:gridCol w:w="1467"/>
        <w:gridCol w:w="1440"/>
        <w:gridCol w:w="5139"/>
      </w:tblGrid>
      <w:tr>
        <w:trPr>
          <w:trHeight w:val="567" w:hRule="atLeast"/>
        </w:trPr>
        <w:tc>
          <w:tcPr>
            <w:vAlign w:val="center"/>
            <w:tcW w:w="0" w:type="nil"/>
          </w:tcPr>
          <w:p>
            <w:pPr>
              <w:pStyle w:val=""/>
              <w:jc w:val="center"/>
              <w:ind w:left="0"/>
              <w:ind w:firstLine="0"/>
              <w:spacing w:line="360" w:lineRule="exact"/>
            </w:pPr>
            <w:r>
              <w:rPr>
                <w:b/>
                <w:color w:val="000000"/>
                <w:rFonts w:ascii="宋体" w:hAnsi="宋体"/>
                <w:szCs w:val="21"/>
              </w:rPr>
              <w:t>序号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ind w:left="0"/>
              <w:ind w:firstLine="0"/>
              <w:spacing w:line="360" w:lineRule="exact"/>
            </w:pPr>
            <w:r>
              <w:rPr>
                <w:b/>
                <w:color w:val="000000"/>
                <w:rFonts w:ascii="宋体" w:hAnsi="宋体"/>
                <w:szCs w:val="21"/>
              </w:rPr>
              <w:t>项目名称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ind w:left="0"/>
              <w:ind w:firstLine="0"/>
              <w:spacing w:line="360" w:lineRule="exact"/>
            </w:pPr>
            <w:r>
              <w:rPr>
                <w:b/>
                <w:color w:val="000000"/>
                <w:rFonts w:ascii="宋体" w:hAnsi="宋体"/>
                <w:szCs w:val="21"/>
              </w:rPr>
              <w:t>实施机关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spacing w:line="360" w:lineRule="exact"/>
            </w:pPr>
            <w:r>
              <w:rPr>
                <w:b/>
                <w:color w:val="000000"/>
                <w:rFonts w:ascii="宋体" w:hAnsi="宋体"/>
                <w:szCs w:val="21"/>
              </w:rPr>
              <w:t>加强事中事后监管措施</w:t>
            </w:r>
          </w:p>
        </w:tc>
      </w:tr>
      <w:tr>
        <w:trPr>
          <w:trHeight w:val="3295" w:hRule="atLeast"/>
        </w:trPr>
        <w:tc>
          <w:tcPr>
            <w:vAlign w:val="center"/>
            <w:tcW w:w="0" w:type="nil"/>
          </w:tcPr>
          <w:p>
            <w:pPr>
              <w:pStyle w:val=""/>
              <w:jc w:val="both"/>
              <w:ind w:left="0"/>
              <w:ind w:firstLine="210"/>
              <w:spacing w:line="440" w:lineRule="exact"/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ind w:left="0"/>
              <w:ind w:firstLine="0"/>
              <w:pageBreakBefore w:val="0"/>
              <w:spacing w:line="400" w:lineRule="exact"/>
            </w:pPr>
            <w:r>
              <w:rPr>
                <w:color w:val="000000"/>
                <w:rFonts w:ascii="Times New Roman" w:hAnsi="Times New Roman"/>
                <w:szCs w:val="21"/>
              </w:rPr>
              <w:t>设立分公司备案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jc w:val="center"/>
              <w:ind w:left="0"/>
              <w:ind w:firstLine="0"/>
              <w:pageBreakBefore w:val="0"/>
              <w:spacing w:line="400" w:lineRule="exact"/>
            </w:pPr>
            <w:r>
              <w:rPr>
                <w:color w:val="000000"/>
                <w:rFonts w:ascii="Times New Roman" w:hAnsi="Times New Roman"/>
                <w:szCs w:val="21"/>
              </w:rPr>
              <w:t>县市场监督管理局</w:t>
            </w:r>
          </w:p>
        </w:tc>
        <w:tc>
          <w:tcPr>
            <w:vAlign w:val="center"/>
            <w:tcW w:w="0" w:type="nil"/>
          </w:tcPr>
          <w:p>
            <w:pPr>
              <w:pStyle w:val=""/>
              <w:ind w:left="0"/>
              <w:ind w:firstLine="0"/>
              <w:pageBreakBefore w:val="0"/>
              <w:spacing w:line="400" w:lineRule="exact"/>
            </w:pPr>
            <w:r>
              <w:rPr>
                <w:color w:val="000000"/>
                <w:rFonts w:ascii="Times New Roman" w:hAnsi="Times New Roman"/>
                <w:szCs w:val="21"/>
              </w:rPr>
              <w:t>取消备案后，县市场监督管理部门通过以下措施加强事中事后监管：一是建设维护信息系统，完善规章制度，明确分公司设立信息，及时推送、及时更新、及时公示，加强监管。二是积极开展涉企信息归集共享，全面推行“双随机、一公开”监管，加强对企业公示信息、登记行为的抽查检查，强化部门间协同监管和联合惩戒。</w:t>
            </w:r>
          </w:p>
        </w:tc>
      </w:tr>
    </w:tbl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  <w:spacing w:line="400" w:lineRule="exact"/>
        <w:rPr>
          <w:rFonts w:hAnsi="黑体"/>
          <w:sz w:val="32"/>
          <w:szCs w:val="32"/>
        </w:rPr>
      </w:pPr>
    </w:p>
    <w:p>
      <w:pPr>
        <w:pStyle w:val=""/>
      </w:pP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宋体"/>
  <w:font w:name="Times New Roman"/>
  <w:font w:name="黑体"/>
  <w:font w:name="方正小标宋简体"/>
  <w:font w:name="仿宋_GB2312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  <w:ind w:firstLine="419"/>
      <w:spacing w:line="351" w:lineRule="atLeast"/>
    </w:pPr>
    <w:rPr>
      <w:color w:val="000000"/>
      <w:rFonts w:ascii="Times New Roman" w:hAnsi="Times New Roman"/>
      <w:sz w:val="21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table" w:styleId="">
    <w:name w:val="网格型"/>
    <w:qFormat/>
    <w:basedOn w:val="普通表格"/>
    <w:pPr>
      <w:jc w:val="both"/>
    </w:pPr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网格型"/>
      <w:tblLook w:val="1E0"/>
    </w:tbl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