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576" w:lineRule="exact"/>
        <w:rPr>
          <w:rFonts w:ascii="方正小标宋简体" w:eastAsia="方正小标宋简体" w:hint="eastAsia"/>
          <w:sz w:val="44"/>
          <w:szCs w:val="44"/>
        </w:rPr>
      </w:pPr>
      <w:r>
        <w:rPr>
          <w:lang w:val="en-US" w:eastAsia="zh-CN"/>
          <w:rFonts w:ascii="方正小标宋简体" w:eastAsia="方正小标宋简体" w:hint="eastAsia"/>
          <w:sz w:val="44"/>
          <w:szCs w:val="44"/>
        </w:rPr>
        <w:t>秦安县残联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lang w:val="en-US" w:eastAsia="zh-CN"/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年政府信息公开工作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方正小标宋简体" w:cs="方正小标宋简体" w:eastAsia="方正小标宋简体" w:hAnsi="方正小标宋简体" w:hint="eastAsia"/>
          <w:sz w:val="44"/>
          <w:szCs w:val="44"/>
          <w:caps w:val="0"/>
          <w:shd w:fill="FFFFFF" w:color="auto" w:val="clear"/>
        </w:rPr>
      </w:pPr>
      <w:r>
        <w:rPr>
          <w:rFonts w:ascii="方正小标宋简体" w:eastAsia="方正小标宋简体" w:hint="eastAsia"/>
          <w:sz w:val="44"/>
          <w:szCs w:val="44"/>
        </w:rPr>
        <w:t>年度报告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</w:pP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按照《中华人民共和国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政府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信息公开条例》（以下简称《条例》）要求，现就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秦安县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2021年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政府信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息公开工作报告如下。本报告包括总体情况，主动公开政府信息情况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，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收到和处理政府信息公开申请情况，政府信息公开行政复议、行政诉讼情况，存在的主要问题及改进情况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，其他需要报告的事项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共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6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部分内容。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</w:pP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本年度报告中所列数据的统计期限自2021年1月1日起至2021年12月31日止。本报告通过秦安县人民政府门户网站“中国秦安”（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begin"/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instrText xml:space="preserve"> HYPERLINK "http://www.hsxzf.gov.cn/" </w:instrTex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separate"/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http://www.qinan.gov.c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end"/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n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）公布，若对报告有任何疑问，请联系秦安县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残联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办公室（电话：0938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—6510694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，传真：0938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—6510694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，电子邮箱：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begin"/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instrText xml:space="preserve"> HYPERLINK "mailto:qaxrmzf@163.com）。" </w:instrTex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separate"/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eastAsia"/>
          <w:sz w:val="32"/>
          <w:szCs w:val="32"/>
          <w:caps w:val="0"/>
          <w:shd w:fill="FFFFFF" w:color="auto" w:val="clear"/>
        </w:rPr>
        <w:t>406424647@qq.com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）。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fldChar w:fldCharType="end"/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</w:pP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  <w:t>一、总体情况</w:t>
      </w:r>
    </w:p>
    <w:p>
      <w:pPr>
        <w:ind w:firstLine="640"/>
        <w:spacing w:line="576" w:lineRule="exact"/>
        <w:rPr>
          <w:lang w:val="en-US" w:eastAsia="zh-CN"/>
          <w:rFonts w:ascii="Times New Roman" w:cs="Times New Roman" w:eastAsia="仿宋_GB2312" w:hAnsi="Times New Roman" w:hint="default"/>
          <w:sz w:val="32"/>
          <w:szCs w:val="32"/>
        </w:rPr>
      </w:pP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我会以</w:t>
      </w:r>
      <w:r>
        <w:rPr>
          <w:rFonts w:ascii="Times New Roman" w:cs="Times New Roman" w:eastAsia="仿宋_GB2312" w:hAnsi="Times New Roman"/>
          <w:sz w:val="32"/>
          <w:szCs w:val="32"/>
        </w:rPr>
        <w:t>政府信息公开重点，大力推进政府信息公开工作，不断规范政府信息公开内容，创新政府信息公开形式，提高政府信息水平，有力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地推动了全县残疾人事业</w:t>
      </w:r>
      <w:r>
        <w:rPr>
          <w:rFonts w:ascii="Times New Roman" w:cs="Times New Roman" w:eastAsia="仿宋_GB2312" w:hAnsi="Times New Roman"/>
          <w:sz w:val="32"/>
          <w:szCs w:val="32"/>
        </w:rPr>
        <w:t>的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健康有序</w:t>
      </w:r>
      <w:r>
        <w:rPr>
          <w:rFonts w:ascii="Times New Roman" w:cs="Times New Roman" w:eastAsia="仿宋_GB2312" w:hAnsi="Times New Roman"/>
          <w:sz w:val="32"/>
          <w:szCs w:val="32"/>
        </w:rPr>
        <w:t>开展。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在我会政府</w:t>
      </w:r>
      <w:r>
        <w:rPr>
          <w:rFonts w:ascii="Times New Roman" w:cs="Times New Roman" w:eastAsia="仿宋_GB2312" w:hAnsi="Times New Roman"/>
          <w:sz w:val="32"/>
          <w:szCs w:val="32"/>
        </w:rPr>
        <w:t>信息公开工作领导小组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的领导下</w:t>
      </w:r>
      <w:r>
        <w:rPr>
          <w:rFonts w:ascii="Times New Roman" w:cs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cs="Times New Roman" w:eastAsia="仿宋_GB2312" w:hAnsi="Times New Roman"/>
          <w:sz w:val="32"/>
          <w:szCs w:val="32"/>
        </w:rPr>
        <w:t>办公室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认真</w:t>
      </w:r>
      <w:r>
        <w:rPr>
          <w:rFonts w:ascii="Times New Roman" w:cs="Times New Roman" w:eastAsia="仿宋_GB2312" w:hAnsi="Times New Roman"/>
          <w:sz w:val="32"/>
          <w:szCs w:val="32"/>
        </w:rPr>
        <w:t>负责政府信息公开内容上报、更新、维护、组织协调等日常工作。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2021年，</w:t>
      </w:r>
      <w:r>
        <w:rPr>
          <w:rFonts w:ascii="Times New Roman" w:cs="Times New Roman" w:eastAsia="仿宋_GB2312" w:hAnsi="Times New Roman"/>
          <w:sz w:val="32"/>
          <w:szCs w:val="32"/>
        </w:rPr>
        <w:t>严格按照《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  <w:t>中华人民共和国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政府</w:t>
      </w:r>
      <w:r>
        <w:rPr>
          <w:rFonts w:ascii="Times New Roman" w:cs="Times New Roman" w:eastAsia="仿宋_GB2312" w:hAnsi="Times New Roman"/>
          <w:sz w:val="32"/>
          <w:szCs w:val="32"/>
        </w:rPr>
        <w:t>信息公开条例》，推进我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会</w:t>
      </w:r>
      <w:r>
        <w:rPr>
          <w:rFonts w:ascii="Times New Roman" w:cs="Times New Roman" w:eastAsia="仿宋_GB2312" w:hAnsi="Times New Roman"/>
          <w:sz w:val="32"/>
          <w:szCs w:val="32"/>
        </w:rPr>
        <w:t>责任清单和便民服务清单的梳理发布工作。在政务服务网上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主动</w:t>
      </w:r>
      <w:r>
        <w:rPr>
          <w:rFonts w:ascii="Times New Roman" w:cs="Times New Roman" w:eastAsia="仿宋_GB2312" w:hAnsi="Times New Roman"/>
          <w:sz w:val="32"/>
          <w:szCs w:val="32"/>
        </w:rPr>
        <w:t>公开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权责清单及便民服务事项。涉及的便民服务事项有1项，即残疾人证办理</w:t>
      </w:r>
      <w:r>
        <w:rPr>
          <w:rFonts w:ascii="Times New Roman" w:cs="Times New Roman" w:eastAsia="仿宋_GB2312" w:hAnsi="Times New Roman"/>
          <w:sz w:val="32"/>
          <w:szCs w:val="32"/>
        </w:rPr>
        <w:t>事项，包括事项的名称、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办理流程、</w:t>
      </w:r>
      <w:r>
        <w:rPr>
          <w:rFonts w:ascii="Times New Roman" w:cs="Times New Roman" w:eastAsia="仿宋_GB2312" w:hAnsi="Times New Roman"/>
          <w:sz w:val="32"/>
          <w:szCs w:val="32"/>
        </w:rPr>
        <w:t>办理时间、地点、所需材料、依据、咨询电话、岗位信息等信息均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在政务服务网上</w:t>
      </w:r>
      <w:r>
        <w:rPr>
          <w:rFonts w:ascii="Times New Roman" w:cs="Times New Roman" w:eastAsia="仿宋_GB2312" w:hAnsi="Times New Roman"/>
          <w:sz w:val="32"/>
          <w:szCs w:val="32"/>
        </w:rPr>
        <w:t>可查阅。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对涉及的残疾人新办证、等级变更、到期换证、迁移、注销、补办等政务事项全部纳入</w:t>
      </w:r>
      <w:r>
        <w:rPr>
          <w:rFonts w:ascii="Times New Roman" w:cs="Times New Roman" w:eastAsia="仿宋_GB2312" w:hAnsi="Times New Roman"/>
          <w:sz w:val="32"/>
          <w:szCs w:val="32"/>
        </w:rPr>
        <w:t>政务服务网</w:t>
      </w: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平台，实行公开、规范化管理，进一步提高了群众办事效率。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firstLine="640"/>
        <w:pageBreakBefore w:val="0"/>
        <w:spacing w:line="576" w:lineRule="exact"/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</w:rPr>
      </w:pPr>
      <w:r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二、主动公开政府信息情况</w:t>
      </w:r>
    </w:p>
    <w:tbl>
      <w:tblPr>
        <w:tblW w:w="893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jc w:val="center"/>
        <w:tblStyle w:val="8"/>
      </w:tblPr>
      <w:tblGrid>
        <w:gridCol w:w="3113"/>
        <w:gridCol w:w="2205"/>
        <w:gridCol w:w="1710"/>
        <w:gridCol w:w="1905"/>
      </w:tblGrid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4"/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893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第二十条第（一）项</w:t>
            </w:r>
          </w:p>
        </w:tc>
      </w:tr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2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本年制发件数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71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本年废止件数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现行有效件数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规章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2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71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tabs>
                <w:tab w:val="center" w:pos="1508"/>
                <w:tab w:val="right" w:pos="2897"/>
              </w:tabs>
              <w:rPr>
                <w:lang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</w:pPr>
            <w:r>
              <w:rPr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ab/>
            </w: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规范性文件</w:t>
            </w:r>
            <w:r>
              <w:rPr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ab/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2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71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2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893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第二十条第（五）项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本年处理决定数量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行政许可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ind w:left="0"/>
              <w:pageBreakBefore w:val="0"/>
              <w:spacing w:line="576" w:lineRule="exact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893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第二十条第（六）项</w:t>
            </w:r>
          </w:p>
        </w:tc>
      </w:tr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本年</w:t>
            </w: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处理决定数量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行政处罚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ind w:left="0"/>
              <w:pageBreakBefore w:val="0"/>
              <w:spacing w:line="576" w:lineRule="exact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行政强制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ind w:left="0"/>
              <w:pageBreakBefore w:val="0"/>
              <w:spacing w:line="576" w:lineRule="exact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 w:eastAsia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893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第二十条第（八）项</w:t>
            </w:r>
          </w:p>
        </w:tc>
      </w:tr>
      <w:tr>
        <w:trPr>
          <w:jc w:val="center"/>
          <w:trHeight w:val="567" w:hRule="atLeast"/>
        </w:trP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本年度收费金额（单位：万元）</w:t>
            </w:r>
          </w:p>
        </w:tc>
      </w:tr>
      <w:tr>
        <w:trPr>
          <w:jc w:val="center"/>
          <w:trHeight w:val="567" w:hRule="atLeast"/>
        </w:trP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11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 w:eastAsiaTheme="minorEastAsia"/>
                <w:sz w:val="24"/>
                <w:szCs w:val="24"/>
              </w:rPr>
              <w:t>行政事业性收费</w:t>
            </w:r>
          </w:p>
        </w:tc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582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ind w:left="0"/>
              <w:pageBreakBefore w:val="0"/>
              <w:spacing w:line="576" w:lineRule="exact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highlight w:val="none"/>
                <w:rFonts w:ascii="Times New Roman" w:cs="Times New Roman" w:hAnsi="Times New Roman" w:hint="eastAsia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hd w:fill="FFFFFF" w:color="auto" w:val="clear"/>
        <w:pStyle w:val="7"/>
        <w:jc w:val="both"/>
        <w:ind w:firstLine="640"/>
        <w:pageBreakBefore w:val="0"/>
        <w:spacing w:beforeAutospacing="0" w:after="157" w:afterLines="50" w:afterAutospacing="0" w:line="576" w:lineRule="exact"/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</w:pPr>
      <w:r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三、收到和处理政府信息公开申请情况</w:t>
      </w:r>
    </w:p>
    <w:tbl>
      <w:tblPr>
        <w:tblW w:w="90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nil" w:sz="6" w:color="auto" w:space="0"/>
          <w:bottom w:val="nil" w:sz="6" w:color="auto" w:space="0"/>
          <w:left w:val="nil" w:sz="6" w:color="auto" w:space="0"/>
          <w:right w:val="nil" w:sz="6" w:color="auto" w:space="0"/>
          <w:insideH w:val="outset" w:sz="6" w:color="auto" w:space="0"/>
          <w:insideV w:val="outset" w:sz="6" w:color="auto" w:space="0"/>
        </w:tblBorders>
        <w:jc w:val="center"/>
        <w:tblStyle w:val="8"/>
      </w:tblPr>
      <w:tblGrid>
        <w:gridCol w:w="647"/>
        <w:gridCol w:w="894"/>
        <w:gridCol w:w="2948"/>
        <w:gridCol w:w="583"/>
        <w:gridCol w:w="704"/>
        <w:gridCol w:w="704"/>
        <w:gridCol w:w="704"/>
        <w:gridCol w:w="705"/>
        <w:gridCol w:w="570"/>
        <w:gridCol w:w="612"/>
      </w:tblGrid>
      <w:tr>
        <w:trPr>
          <w:jc w:val="center"/>
          <w:trHeight w:val="510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3"/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4489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Mar>
              <w:left w:w="108" w:type="dxa"/>
              <w:right w:w="108" w:type="dxa"/>
            </w:tcMar>
            <w:gridSpan w:val="7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458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申请人情况</w:t>
            </w:r>
          </w:p>
        </w:tc>
      </w:tr>
      <w:tr>
        <w:trPr>
          <w:jc w:val="center"/>
          <w:trHeight w:val="510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gridSpan w:val="3"/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自然人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387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法人或其他组织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总计</w:t>
            </w:r>
          </w:p>
        </w:tc>
      </w:tr>
      <w:tr>
        <w:trPr>
          <w:jc w:val="center"/>
        </w:trPr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gridSpan w:val="3"/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商业企业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科研机构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社会公益组织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法律服务机构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</w:tr>
      <w:tr>
        <w:trPr>
          <w:jc w:val="center"/>
          <w:trHeight w:val="680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一、本年新收政府信息公开申请数量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680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numPr>
                <w:ilvl w:val="0"/>
                <w:numId w:val="1"/>
              </w:numPr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上年结转政府信息公开申请数量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510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47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三、本年度办理结果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/>
                <w:sz w:val="24"/>
                <w:szCs w:val="24"/>
              </w:rPr>
              <w:t>（一）予以公开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680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（三）不予公开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1.属于国家秘密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1"/>
                <w:szCs w:val="21"/>
              </w:rPr>
              <w:t>2.其他法律行政法规禁止公开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3.危及“三安全一稳定”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4.保护第三方合法权益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5.属于三类内部事务信息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6.属于四类过程性信息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7.属于行政执法案卷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8.属于行政查询事项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（四）无法提供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1"/>
                <w:szCs w:val="21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1"/>
                <w:szCs w:val="21"/>
              </w:rPr>
              <w:t>1.本机关不掌握相关政府信息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1"/>
                <w:szCs w:val="21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1"/>
                <w:szCs w:val="21"/>
              </w:rPr>
              <w:t>2.没有现成信息需要另行制作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1"/>
                <w:szCs w:val="21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1"/>
                <w:szCs w:val="21"/>
              </w:rPr>
              <w:t>3.补正后申请内容仍不明确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（五）不予处理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1.信访举报投诉类申请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2.重复申请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3.要求提供公开出版物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1"/>
                <w:szCs w:val="21"/>
              </w:rPr>
              <w:t>4.无正当理由大量反复申请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680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369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ascii="宋体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（六）其他处理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1.申请人无正当理由逾期不补证，行政机关不再处理其政府信息公开申请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369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2.申请人逾期未按收费通知要求缴纳费用，行政机关不再处理其政府信息公开申请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eastAsia="宋体"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楷体" w:cs="楷体" w:eastAsia="楷体" w:hAnsi="楷体" w:hint="eastAsia"/>
                <w:sz w:val="24"/>
                <w:szCs w:val="24"/>
              </w:rPr>
              <w:t>（七）总计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  <w:tr>
        <w:trPr>
          <w:jc w:val="center"/>
          <w:trHeight w:val="454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left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ascii="宋体" w:cs="宋体" w:eastAsia="宋体" w:hAnsi="宋体" w:hint="eastAsia"/>
                <w:sz w:val="24"/>
                <w:szCs w:val="24"/>
              </w:rPr>
              <w:t>四、结转下年度继续办理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eastAsiaTheme="minorEastAsia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eastAsia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ascii="宋体"/>
                <w:sz w:val="24"/>
                <w:szCs w:val="24"/>
              </w:rPr>
            </w:pPr>
            <w:r>
              <w:rPr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cstheme="minorEastAsia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hd w:fill="FFFFFF" w:color="auto" w:val="clear"/>
        <w:pStyle w:val="7"/>
        <w:jc w:val="both"/>
        <w:ind w:firstLine="640"/>
        <w:pageBreakBefore w:val="0"/>
        <w:spacing w:beforeAutospacing="0" w:after="157" w:afterLines="50" w:afterAutospacing="0" w:line="576" w:lineRule="exact"/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</w:pPr>
      <w:r>
        <w:rPr>
          <w:bCs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四、</w:t>
      </w:r>
      <w:r>
        <w:rPr>
          <w:bCs/>
          <w:spacing w:val="-6"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政府信息公开行政复议</w:t>
      </w:r>
      <w:r>
        <w:rPr>
          <w:bCs/>
          <w:spacing w:val="-6"/>
          <w:lang w:eastAsia="zh-CN"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、</w:t>
      </w:r>
      <w:r>
        <w:rPr>
          <w:bCs/>
          <w:spacing w:val="-6"/>
          <w14:textFill>
            <w14:solidFill>
              <w14:schemeClr w14:val="tx1"/>
            </w14:solidFill>
          </w14:textFill>
          <w:b w:val="0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行政诉讼情况</w:t>
      </w:r>
    </w:p>
    <w:tbl>
      <w:tblPr>
        <w:tblW w:w="90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Borders>
          <w:top w:val="nil" w:sz="6" w:color="auto" w:space="0"/>
          <w:bottom w:val="nil" w:sz="6" w:color="auto" w:space="0"/>
          <w:left w:val="nil" w:sz="6" w:color="auto" w:space="0"/>
          <w:right w:val="nil" w:sz="6" w:color="auto" w:space="0"/>
          <w:insideH w:val="outset" w:sz="6" w:color="auto" w:space="0"/>
          <w:insideV w:val="outset" w:sz="6" w:color="auto" w:space="0"/>
        </w:tblBorders>
        <w:jc w:val="center"/>
        <w:tblStyle w:val="8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  <w:trHeight w:val="454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07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行政复议</w:t>
            </w:r>
          </w:p>
        </w:tc>
        <w:tc>
          <w:tcPr>
            <w:tcMar>
              <w:left w:w="108" w:type="dxa"/>
              <w:right w:w="108" w:type="dxa"/>
            </w:tcMar>
            <w:gridSpan w:val="10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997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行政诉讼</w:t>
            </w:r>
          </w:p>
        </w:tc>
      </w:tr>
      <w:tr>
        <w:trPr>
          <w:jc w:val="center"/>
          <w:trHeight w:val="454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5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7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未经复议直接起诉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027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复议后起诉</w:t>
            </w:r>
          </w:p>
        </w:tc>
      </w:tr>
      <w:tr>
        <w:trPr>
          <w:jc w:val="center"/>
          <w:trHeight w:val="1474" w:hRule="atLeas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5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6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6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</w:tr>
      <w:tr>
        <w:trPr>
          <w:jc w:val="center"/>
          <w:trHeight w:val="567" w:hRule="atLeast"/>
        </w:trP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4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58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50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5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6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06" w:type="dxa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jc w:val="center"/>
              <w:pageBreakBefore w:val="0"/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  <w:color w:val="000000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</w:pP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  <w:t>五、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eastAsia"/>
          <w:sz w:val="32"/>
          <w:szCs w:val="32"/>
          <w:caps w:val="0"/>
          <w:shd w:fill="FFFFFF" w:color="auto" w:val="clear"/>
        </w:rPr>
        <w:t>政府信息公开工作</w:t>
      </w: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  <w:t>存在的主要问题及改进情况</w:t>
      </w:r>
    </w:p>
    <w:p>
      <w:pPr>
        <w:adjustRightInd w:val="0"/>
        <w:snapToGrid w:val="0"/>
        <w:jc w:val="left"/>
        <w:ind w:firstLine="640"/>
        <w:spacing w:line="576" w:lineRule="exact"/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</w:pPr>
      <w:r>
        <w:rPr>
          <w:lang w:val="en-US" w:eastAsia="zh-CN"/>
          <w:rFonts w:ascii="Times New Roman" w:cs="Times New Roman" w:eastAsia="仿宋_GB2312" w:hAnsi="Times New Roman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年，我</w:t>
      </w:r>
      <w:r>
        <w:rPr>
          <w:lang w:val="en-US" w:eastAsia="zh-CN"/>
          <w:rFonts w:eastAsia="仿宋_GB2312" w:hint="eastAsia"/>
          <w:sz w:val="32"/>
          <w:szCs w:val="32"/>
        </w:rPr>
        <w:t>会</w:t>
      </w:r>
      <w:r>
        <w:rPr>
          <w:rFonts w:eastAsia="仿宋_GB2312" w:hint="eastAsia"/>
          <w:sz w:val="32"/>
          <w:szCs w:val="32"/>
        </w:rPr>
        <w:t>政府信息公开工作虽然取得了一定的成绩，但</w:t>
      </w:r>
      <w:r>
        <w:rPr>
          <w:lang w:val="en-US" w:eastAsia="zh-CN"/>
          <w:rFonts w:eastAsia="仿宋_GB2312" w:hint="eastAsia"/>
          <w:sz w:val="32"/>
          <w:szCs w:val="32"/>
        </w:rPr>
        <w:t>也</w:t>
      </w:r>
      <w:r>
        <w:rPr>
          <w:rFonts w:eastAsia="仿宋_GB2312" w:hint="eastAsia"/>
          <w:sz w:val="32"/>
          <w:szCs w:val="32"/>
        </w:rPr>
        <w:t>存在</w:t>
      </w:r>
      <w:r>
        <w:rPr>
          <w:lang w:val="en-US" w:eastAsia="zh-CN"/>
          <w:rFonts w:eastAsia="仿宋_GB2312" w:hint="eastAsia"/>
          <w:sz w:val="32"/>
          <w:szCs w:val="32"/>
        </w:rPr>
        <w:t>一些</w:t>
      </w:r>
      <w:r>
        <w:rPr>
          <w:rFonts w:eastAsia="仿宋_GB2312" w:hint="eastAsia"/>
          <w:sz w:val="32"/>
          <w:szCs w:val="32"/>
        </w:rPr>
        <w:t>差距和不足。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主要是：</w:t>
      </w:r>
      <w:r>
        <w:rPr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一是工作规范化有待进一步加强，部分股室对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政府</w:t>
      </w:r>
      <w:r>
        <w:rPr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信息公开工作认识不到位，提供公开项目内容不够全面、细致，公开渠道不够均衡；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二是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公众信息需求量大，但我会人员紧缺，设备技术欠缺，不能很好地满足公众需求，政府信息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公开实效性有待进一步加强；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三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是对一些专业性较强的政策，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项目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公开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不及时，公开形式单一、呆板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。</w:t>
      </w:r>
    </w:p>
    <w:p>
      <w:pPr>
        <w:adjustRightInd w:val="0"/>
        <w:snapToGrid w:val="0"/>
        <w:jc w:val="left"/>
        <w:ind w:firstLine="640"/>
        <w:spacing w:line="576" w:lineRule="exact"/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</w:pPr>
      <w:r>
        <w:rPr>
          <w:lang w:val="en-US" w:eastAsia="zh-CN"/>
          <w:rFonts w:ascii="仿宋_GB2312" w:eastAsia="仿宋_GB2312" w:hint="eastAsia"/>
          <w:sz w:val="32"/>
          <w:szCs w:val="32"/>
          <w:shd w:fill="FFFFFF" w:color="auto" w:val="clear"/>
        </w:rPr>
        <w:t>针对以上问题，</w:t>
      </w:r>
      <w:r>
        <w:rPr>
          <w:rFonts w:ascii="仿宋_GB2312" w:eastAsia="仿宋_GB2312" w:hint="eastAsia"/>
          <w:sz w:val="32"/>
          <w:szCs w:val="32"/>
          <w:shd w:fill="FFFFFF" w:color="auto" w:val="clear"/>
        </w:rPr>
        <w:t>下一步我</w:t>
      </w:r>
      <w:r>
        <w:rPr>
          <w:lang w:val="en-US" w:eastAsia="zh-CN"/>
          <w:rFonts w:ascii="仿宋_GB2312" w:eastAsia="仿宋_GB2312" w:hint="eastAsia"/>
          <w:sz w:val="32"/>
          <w:szCs w:val="32"/>
          <w:shd w:fill="FFFFFF" w:color="auto" w:val="clear"/>
        </w:rPr>
        <w:t>会</w:t>
      </w:r>
      <w:r>
        <w:rPr>
          <w:rFonts w:ascii="仿宋_GB2312" w:eastAsia="仿宋_GB2312"/>
          <w:sz w:val="32"/>
          <w:szCs w:val="32"/>
          <w:shd w:fill="FFFFFF" w:color="auto" w:val="clear"/>
        </w:rPr>
        <w:t>将</w:t>
      </w:r>
      <w:r>
        <w:rPr>
          <w:lang w:val="en-US" w:eastAsia="zh-CN"/>
          <w:rFonts w:ascii="仿宋_GB2312" w:eastAsia="仿宋_GB2312" w:hint="eastAsia"/>
          <w:sz w:val="32"/>
          <w:szCs w:val="32"/>
          <w:shd w:fill="FFFFFF" w:color="auto" w:val="clear"/>
        </w:rPr>
        <w:t>重点开展以下几方面工作：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一是加强领导，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提高认识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。提高全体工作人员对政府信息公开工作的重视程度，让领导及时了解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政府信息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公开工作情况，督促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相关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责任人要切实履行职责，全力推进政府信息公开工作。二是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增强力量，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强化监督。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进一步增强政府信息公开力量，同时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严格按照《条例》规定主动公开应该公开的政府信息和重点工作信息，积极整改工作不到位、主动公开不够，内容更新慢、信息公开量少的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问题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，努力提</w:t>
      </w:r>
      <w:bookmarkStart w:id="0" w:name="_GoBack"/>
      <w:bookmarkEnd w:id="0"/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升政府信息公开工作质量。三是整合资源，拓展内容。坚持把社会关注度高的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残疾人康复、就业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信息作为突破口，努力推进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政府</w:t>
      </w:r>
      <w:r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  <w:t>信息公开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多样化、形象化。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64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</w:pPr>
      <w:r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黑体" w:hAnsi="Times New Roman" w:hint="default"/>
          <w:sz w:val="32"/>
          <w:szCs w:val="32"/>
          <w:caps w:val="0"/>
          <w:shd w:fill="FFFFFF" w:color="auto" w:val="clear"/>
        </w:rPr>
        <w:t>六、其他需要报告的事项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420"/>
        <w:pageBreakBefore w:val="0"/>
        <w:spacing w:line="576" w:lineRule="exact"/>
        <w:rPr>
          <w:spacing w:val="0"/>
          <w:kern w:val="0"/>
          <w:lang w:val="en-US" w:eastAsia="zh-CN" w:bidi="ar"/>
          <w:b w:val="0"/>
          <w:i w:val="0"/>
          <w:color w:val="000000"/>
          <w:rFonts w:ascii="Times New Roman" w:cs="Times New Roman" w:eastAsia="仿宋_GB2312" w:hAnsi="Times New Roman" w:hint="default"/>
          <w:sz w:val="32"/>
          <w:szCs w:val="32"/>
          <w:caps w:val="0"/>
          <w:shd w:fill="FFFFFF" w:color="auto" w:val="clear"/>
        </w:rPr>
      </w:pPr>
      <w:r>
        <w:rPr>
          <w:lang w:val="en-US" w:eastAsia="zh-CN"/>
          <w:rFonts w:ascii="Times New Roman" w:cs="Times New Roman" w:hAnsi="Times New Roman" w:hint="eastAsia"/>
        </w:rPr>
        <w:t xml:space="preserve"> </w:t>
      </w:r>
      <w:r>
        <w:rPr>
          <w:lang w:val="en-US" w:eastAsia="zh-CN"/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无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Style w:val="4"/>
        <w:ind w:left="0"/>
        <w:pageBreakBefore w:val="0"/>
        <w:spacing w:after="0" w:line="576" w:lineRule="exact"/>
        <w:rPr>
          <w:rFonts w:ascii="Times New Roman" w:cs="Times New Roman" w:hAnsi="Times New Roman" w:hint="default"/>
        </w:rPr>
      </w:pPr>
    </w:p>
    <w:sectPr>
      <w:rtlGutter w:val="0"/>
      <w:docGrid w:type="lines" w:linePitch="318" w:charSpace="0"/>
      <w:footerReference r:id="rId3" w:type="default"/>
      <w:pgNumType w:fmt="decimal"/>
      <w:pgSz w:w="11906" w:h="16838"/>
      <w:pgMar w:left="1531" w:right="1531" w:top="2098" w:bottom="1984" w:header="851" w:footer="1531" w:gutter="0"/>
      <w:pgBorders>
        <w:top w:val="nil" w:sz="0" w:color="auto" w:space="0"/>
        <w:bottom w:val="nil" w:sz="0" w:color="auto" w:space="0"/>
        <w:left w:val="nil" w:sz="0" w:color="auto" w:space="0"/>
        <w:right w:val="nil" w:sz="0" w:color="auto" w:space="0"/>
      </w:pgBorders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/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15" w:rightChars="15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15" w:rightChars="15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9D992400"/>
    <w:tmpl w:val="9D992400"/>
    <w:lvl w:ilvl="0" w:tentative="0">
      <w:numFmt w:val="chineseCounting"/>
      <w:lvlText w:val="%1、"/>
      <w:start w:val="2"/>
      <w:rPr>
        <w:rFonts w:hint="eastAsia"/>
      </w:rPr>
      <w:suff w:val="nothing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17245FCF"/>
    <w:rsid val="01A52705"/>
    <w:rsid val="02223D56"/>
    <w:rsid val="050E3CE6"/>
    <w:rsid val="052D53DB"/>
    <w:rsid val="05575AC4"/>
    <w:rsid val="05A05D2B"/>
    <w:rsid val="05B225BA"/>
    <w:rsid val="06725B16"/>
    <w:rsid val="09CA108C"/>
    <w:rsid val="0B4E594E"/>
    <w:rsid val="0C3E3787"/>
    <w:rsid val="0DCF414B"/>
    <w:rsid val="0DFB19DF"/>
    <w:rsid val="0E214EC1"/>
    <w:rsid val="101C3B92"/>
    <w:rsid val="102B4703"/>
    <w:rsid val="103722B9"/>
    <w:rsid val="11046BBF"/>
    <w:rsid val="12971BF6"/>
    <w:rsid val="13174AE5"/>
    <w:rsid val="14A63058"/>
    <w:rsid val="15DA3732"/>
    <w:rsid val="1610471E"/>
    <w:rsid val="17245FCF"/>
    <w:rsid val="17EF4AE1"/>
    <w:rsid val="186662F2"/>
    <w:rsid val="18D74CBF"/>
    <w:rsid val="19C21C4E"/>
    <w:rsid val="1B2B55D1"/>
    <w:rsid val="1B3C523E"/>
    <w:rsid val="1B950C9D"/>
    <w:rsid val="1D392227"/>
    <w:rsid val="1D6D5414"/>
    <w:rsid val="1D7C6A64"/>
    <w:rsid val="1EA96F36"/>
    <w:rsid val="200563F1"/>
    <w:rsid val="20F66E85"/>
    <w:rsid val="213827F6"/>
    <w:rsid val="220B1CB9"/>
    <w:rsid val="23843AD1"/>
    <w:rsid val="242A0225"/>
    <w:rsid val="24577437"/>
    <w:rsid val="27E254E0"/>
    <w:rsid val="2A963BAE"/>
    <w:rsid val="2AA63CB3"/>
    <w:rsid val="2BC06835"/>
    <w:rsid val="2BD0497A"/>
    <w:rsid val="2C536973"/>
    <w:rsid val="2CA25109"/>
    <w:rsid val="2CD22CA0"/>
    <w:rsid val="2D1B4F75"/>
    <w:rsid val="2D622CBD"/>
    <w:rsid val="2D7D16EA"/>
    <w:rsid val="2F912499"/>
    <w:rsid val="2FBC2096"/>
    <w:rsid val="31480788"/>
    <w:rsid val="31EE79D1"/>
    <w:rsid val="320F4EAD"/>
    <w:rsid val="325B6344"/>
    <w:rsid val="336C7EE0"/>
    <w:rsid val="336E59D3"/>
    <w:rsid val="33962FC2"/>
    <w:rsid val="33B51A84"/>
    <w:rsid val="33E660E2"/>
    <w:rsid val="3503774D"/>
    <w:rsid val="36703254"/>
    <w:rsid val="37122A94"/>
    <w:rsid val="371E3A29"/>
    <w:rsid val="37270EEB"/>
    <w:rsid val="396A50BF"/>
    <w:rsid val="3A0558D8"/>
    <w:rsid val="3CF42B4E"/>
    <w:rsid val="3E467EA9"/>
    <w:rsid val="3F6C184D"/>
    <w:rsid val="3FCC0881"/>
    <w:rsid val="3FD923DE"/>
    <w:rsid val="40647138"/>
    <w:rsid val="408E03B9"/>
    <w:rsid val="41923405"/>
    <w:rsid val="43192786"/>
    <w:rsid val="43A3690E"/>
    <w:rsid val="43F108B7"/>
    <w:rsid val="4597723C"/>
    <w:rsid val="459A3794"/>
    <w:rsid val="46D06EA9"/>
    <w:rsid val="47372A84"/>
    <w:rsid val="4799373F"/>
    <w:rsid val="480F69B2"/>
    <w:rsid val="48192719"/>
    <w:rsid val="490F1CC7"/>
    <w:rsid val="4B50075C"/>
    <w:rsid val="4B904E59"/>
    <w:rsid val="4CB60E37"/>
    <w:rsid val="4CE60BA9"/>
    <w:rsid val="4D474990"/>
    <w:rsid val="4DAF7FC0"/>
    <w:rsid val="4EA07BA7"/>
    <w:rsid val="4F2558B8"/>
    <w:rsid val="533C44E4"/>
    <w:rsid val="541760EC"/>
    <w:rsid val="54846054"/>
    <w:rsid val="54AA7348"/>
    <w:rsid val="54C26763"/>
    <w:rsid val="564B2ED6"/>
    <w:rsid val="56B9499A"/>
    <w:rsid val="572267FD"/>
    <w:rsid val="57316492"/>
    <w:rsid val="573570A0"/>
    <w:rsid val="583C0653"/>
    <w:rsid val="5A366BCB"/>
    <w:rsid val="5A8B59CB"/>
    <w:rsid val="5C5333C6"/>
    <w:rsid val="5E450BB3"/>
    <w:rsid val="5E8B689C"/>
    <w:rsid val="5EB50A07"/>
    <w:rsid val="60F11A9E"/>
    <w:rsid val="61741A9B"/>
    <w:rsid val="61847DD1"/>
    <w:rsid val="622F713D"/>
    <w:rsid val="63621CED"/>
    <w:rsid val="636912EE"/>
    <w:rsid val="637B4800"/>
    <w:rsid val="651923C6"/>
    <w:rsid val="65343354"/>
    <w:rsid val="66F01730"/>
    <w:rsid val="670C13E0"/>
    <w:rsid val="676D0B82"/>
    <w:rsid val="68984CB4"/>
    <w:rsid val="6AE53679"/>
    <w:rsid val="6B285A46"/>
    <w:rsid val="6BEC7A32"/>
    <w:rsid val="6D7101EF"/>
    <w:rsid val="6F0D72E1"/>
    <w:rsid val="6F11264B"/>
    <w:rsid val="6F3516F0"/>
    <w:rsid val="70041B6B"/>
    <w:rsid val="70F31F92"/>
    <w:rsid val="710B00FA"/>
    <w:rsid val="72230B17"/>
    <w:rsid val="74E7523A"/>
    <w:rsid val="75FF45E7"/>
    <w:rsid val="78BC02B4"/>
    <w:rsid val="79472C05"/>
    <w:rsid val="79AF7ABE"/>
    <w:rsid val="79B71378"/>
    <w:rsid val="7A992B33"/>
    <w:rsid val="7AF91823"/>
    <w:rsid val="7B354F51"/>
    <w:rsid val="7BA520C3"/>
    <w:rsid val="7C3074C7"/>
    <w:rsid val="7C3F0DB7"/>
    <w:rsid val="7E396B79"/>
    <w:rsid val="7EEB39C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next w:val="2"/>
    <w:uiPriority w:val="0"/>
    <w:pPr>
      <w:widowControl w:val="0"/>
      <w:jc w:val="both"/>
    </w:pPr>
    <w:rPr>
      <w:kern w:val="2"/>
      <w:lang w:val="en-US" w:eastAsia="zh-CN" w:bidi="ar-SA"/>
      <w:rFonts w:ascii="Calibri" w:cs="Times New Roman" w:eastAsia="宋体" w:hAnsi="Calibri"/>
      <w:sz w:val="21"/>
      <w:szCs w:val="24"/>
    </w:rPr>
  </w:style>
  <w:style w:type="paragraph" w:styleId="2">
    <w:name w:val="Heading 2"/>
    <w:qFormat/>
    <w:basedOn w:val="1"/>
    <w:next w:val="1"/>
    <w:unhideWhenUsed/>
    <w:uiPriority w:val="0"/>
    <w:pPr>
      <w:jc w:val="left"/>
      <w:spacing w:before="100" w:beforeAutospacing="1" w:after="100" w:afterAutospacing="1"/>
    </w:pPr>
    <w:rPr>
      <w:kern w:val="0"/>
      <w:lang w:val="en-US" w:eastAsia="zh-CN" w:bidi="ar"/>
      <w:b/>
      <w:rFonts w:ascii="宋体" w:cs="宋体" w:eastAsia="宋体" w:hAnsi="宋体" w:hint="eastAsia"/>
      <w:sz w:val="36"/>
      <w:szCs w:val="36"/>
    </w:rPr>
  </w:style>
  <w:style w:type="character" w:default="1" w:styleId="9">
    <w:name w:val="Default Paragraph Font"/>
    <w:qFormat/>
    <w:semiHidden/>
    <w:uiPriority w:val="0"/>
  </w:style>
  <w:style w:type="table" w:default="1" w:styleId="8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3">
    <w:name w:val="Body Text"/>
    <w:qFormat/>
    <w:basedOn w:val="1"/>
    <w:uiPriority w:val="99"/>
    <w:pPr>
      <w:spacing w:after="120"/>
    </w:pPr>
  </w:style>
  <w:style w:type="paragraph" w:styleId="4">
    <w:name w:val="Body Text Indent 2"/>
    <w:qFormat/>
    <w:basedOn w:val="1"/>
    <w:next w:val="1"/>
    <w:uiPriority w:val="0"/>
    <w:pPr>
      <w:ind w:left="420"/>
      <w:spacing w:after="120" w:line="480" w:lineRule="auto"/>
    </w:pPr>
  </w:style>
  <w:style w:type="paragraph" w:styleId="5">
    <w:name w:val="footer"/>
    <w:qFormat/>
    <w:basedOn w:val="1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uiPriority w:val="0"/>
    <w:pPr>
      <w:snapToGrid w:val="0"/>
      <w:outlineLvl w:val="9"/>
      <w:pBdr>
        <w:top w:val="nil" w:sz="0" w:color="auto" w:space="1"/>
        <w:bottom w:val="nil" w:sz="0" w:color="auto" w:space="1"/>
        <w:left w:val="nil" w:sz="0" w:color="auto" w:space="4"/>
        <w:right w:val="nil" w:sz="0" w:color="auto" w:space="4"/>
      </w:pBdr>
      <w:jc w:val="both"/>
      <w:spacing w:line="240" w:lineRule="auto"/>
      <w:tabs>
        <w:tab w:val="center" w:pos="4153"/>
        <w:tab w:val="right" w:pos="8306"/>
      </w:tabs>
    </w:pPr>
    <w:rPr>
      <w:sz w:val="18"/>
    </w:rPr>
  </w:style>
  <w:style w:type="paragraph" w:styleId="7">
    <w:name w:val="Normal (Web)"/>
    <w:qFormat/>
    <w:basedOn w:val="1"/>
    <w:uiPriority w:val="0"/>
    <w:pPr>
      <w:jc w:val="left"/>
      <w:ind w:left="0"/>
      <w:ind w:right="0"/>
      <w:spacing w:before="0" w:beforeAutospacing="1" w:after="0" w:afterAutospacing="1"/>
    </w:pPr>
    <w:rPr>
      <w:kern w:val="0"/>
      <w:lang w:val="en-US" w:eastAsia="zh-CN" w:bidi="ar"/>
      <w:sz w:val="24"/>
    </w:rPr>
  </w:style>
  <w:style w:type="character" w:styleId="10">
    <w:name w:val="Strong"/>
    <w:qFormat/>
    <w:basedOn w:val="9"/>
    <w:uiPriority w:val="0"/>
    <w:rPr>
      <w:b/>
    </w:rPr>
  </w:style>
  <w:style w:type="paragraph" w:styleId="11">
    <w:name w:val="Normal (Web)"/>
    <w:qFormat/>
    <w:basedOn w:val="1"/>
    <w:uiPriority w:val="0"/>
    <w:pPr>
      <w:jc w:val="left"/>
      <w:ind w:left="0"/>
      <w:ind w:right="0"/>
      <w:spacing w:before="0" w:beforeAutospacing="0" w:beforeLines="0" w:after="0" w:afterLines="0" w:afterAutospacing="0"/>
    </w:pPr>
    <w:rPr>
      <w:kern w:val="0"/>
      <w:lang w:val="en-US" w:eastAsia="zh-CN"/>
      <w:sz w:val="24"/>
    </w:rPr>
  </w:style>
  <w:style w:type="character" w:styleId="12">
    <w:name w:val="Body text (2) + SimSun"/>
    <w:qFormat/>
    <w:basedOn w:val="13"/>
    <w:uiPriority w:val="0"/>
    <w:rPr>
      <w:spacing w:val="0"/>
      <w:w w:val="100"/>
      <w:position w:val="0"/>
      <w:lang w:val="zh-CN" w:eastAsia="zh-CN" w:bidi="zh-CN"/>
      <w:color w:val="000000"/>
      <w:rFonts w:ascii="宋体" w:cs="宋体" w:eastAsia="宋体" w:hAnsi="宋体"/>
      <w:sz w:val="20"/>
      <w:szCs w:val="20"/>
    </w:rPr>
  </w:style>
  <w:style w:type="character" w:styleId="13">
    <w:name w:val="Body text (2)_"/>
    <w:qFormat/>
    <w:basedOn w:val="9"/>
    <w:link w:val="14"/>
    <w:uiPriority w:val="0"/>
    <w:rPr>
      <w:u w:val="none"/>
      <w:sz w:val="20"/>
      <w:szCs w:val="20"/>
    </w:rPr>
  </w:style>
  <w:style w:type="paragraph" w:styleId="14">
    <w:name w:val="Body text (2)"/>
    <w:qFormat/>
    <w:basedOn w:val="1"/>
    <w:link w:val="13"/>
    <w:uiPriority w:val="0"/>
    <w:pPr>
      <w:widowControl w:val="0"/>
      <w:shd w:fill="FFFFFF" w:color="auto" w:val="clear"/>
    </w:pPr>
    <w:rPr>
      <w:u w:val="none"/>
      <w:sz w:val="20"/>
      <w:szCs w:val="20"/>
    </w:rPr>
  </w:style>
  <w:style w:type="paragraph" w:styleId="15">
    <w:name w:val="BodyTextIndent2"/>
    <w:qFormat/>
    <w:basedOn w:val="1"/>
    <w:uiPriority w:val="0"/>
    <w:pPr>
      <w:textAlignment w:val="baseline"/>
      <w:jc w:val="both"/>
      <w:ind w:left="420"/>
      <w:spacing w:line="480" w:lineRule="auto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3290</Words>
  <Characters>3449</Characters>
  <Lines>0</Lines>
  <Paragraphs>0</Paragraphs>
  <TotalTime>4</TotalTime>
  <ScaleCrop>false</ScaleCrop>
  <LinksUpToDate>false</LinksUpToDate>
  <CharactersWithSpaces>3457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2020-02-05T02:34:00Z</dcterms:created>
  <dc:creator>茬渁①汸</dc:creator>
  <cp:lastModifiedBy>LENOVO</cp:lastModifiedBy>
  <dcterms:modified xsi:type="dcterms:W3CDTF">2022-02-18T02:31:18Z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7F276D53262E40E0876458192BDA28FF</vt:lpwstr>
  </property>
</Properties>
</file>